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6EA13" w14:textId="4770F3DB" w:rsidR="00C72141" w:rsidRDefault="00330804" w:rsidP="00732F51">
      <w:pPr>
        <w:spacing w:after="0"/>
        <w:jc w:val="center"/>
      </w:pPr>
      <w:r w:rsidRPr="00BC7755">
        <w:t>Heritage Adapts to Climate Alliance (HACA)</w:t>
      </w:r>
    </w:p>
    <w:p w14:paraId="6DF3EE82" w14:textId="77777777" w:rsidR="00BC7755" w:rsidRPr="00BC7755" w:rsidRDefault="00BC7755" w:rsidP="00BC7755">
      <w:pPr>
        <w:spacing w:after="0"/>
        <w:jc w:val="center"/>
      </w:pPr>
    </w:p>
    <w:p w14:paraId="70135F0C" w14:textId="189D397E" w:rsidR="00C72141" w:rsidRPr="00BC7755" w:rsidRDefault="00C72141" w:rsidP="00BC7755">
      <w:pPr>
        <w:spacing w:after="0"/>
        <w:jc w:val="center"/>
      </w:pPr>
      <w:r w:rsidRPr="00BC7755">
        <w:t xml:space="preserve">Statement </w:t>
      </w:r>
      <w:r w:rsidR="00330804" w:rsidRPr="00BC7755">
        <w:t>on the 15 November SB Co-</w:t>
      </w:r>
      <w:r w:rsidRPr="00BC7755">
        <w:t>Chairs</w:t>
      </w:r>
      <w:r w:rsidR="00330804" w:rsidRPr="00BC7755">
        <w:t xml:space="preserve"> Proposal </w:t>
      </w:r>
    </w:p>
    <w:p w14:paraId="390827EA" w14:textId="41A2AEED" w:rsidR="00212E71" w:rsidRPr="00BC7755" w:rsidRDefault="00330804" w:rsidP="00BC7755">
      <w:pPr>
        <w:spacing w:after="0"/>
        <w:jc w:val="center"/>
      </w:pPr>
      <w:r w:rsidRPr="00BC7755">
        <w:t>on matters related to the global goal on adaptation</w:t>
      </w:r>
    </w:p>
    <w:p w14:paraId="0EDF7955" w14:textId="45A560BD" w:rsidR="00330804" w:rsidRPr="00BC7755" w:rsidRDefault="00F80F82" w:rsidP="00F80F82">
      <w:pPr>
        <w:spacing w:after="0"/>
        <w:jc w:val="center"/>
      </w:pPr>
      <w:r>
        <w:t>17 November 2025</w:t>
      </w:r>
    </w:p>
    <w:p w14:paraId="6D515140" w14:textId="77777777" w:rsidR="00141667" w:rsidRDefault="00141667" w:rsidP="00BC7755">
      <w:pPr>
        <w:spacing w:after="0"/>
      </w:pPr>
    </w:p>
    <w:tbl>
      <w:tblPr>
        <w:tblStyle w:val="TableGrid"/>
        <w:tblW w:w="0" w:type="auto"/>
        <w:tblLook w:val="04A0" w:firstRow="1" w:lastRow="0" w:firstColumn="1" w:lastColumn="0" w:noHBand="0" w:noVBand="1"/>
      </w:tblPr>
      <w:tblGrid>
        <w:gridCol w:w="9350"/>
      </w:tblGrid>
      <w:tr w:rsidR="00141667" w14:paraId="0DB29E27" w14:textId="77777777" w:rsidTr="00141667">
        <w:tc>
          <w:tcPr>
            <w:tcW w:w="9350" w:type="dxa"/>
          </w:tcPr>
          <w:p w14:paraId="7D9D116E" w14:textId="1D0F8025" w:rsidR="00141667" w:rsidRDefault="00141667" w:rsidP="00141667">
            <w:pPr>
              <w:jc w:val="center"/>
            </w:pPr>
            <w:r>
              <w:t>Summary of HACA Recommendations</w:t>
            </w:r>
          </w:p>
        </w:tc>
      </w:tr>
      <w:tr w:rsidR="00141667" w14:paraId="60FCE3EC" w14:textId="77777777" w:rsidTr="00141667">
        <w:tc>
          <w:tcPr>
            <w:tcW w:w="9350" w:type="dxa"/>
          </w:tcPr>
          <w:p w14:paraId="1C6E58CD" w14:textId="77777777" w:rsidR="0070362B" w:rsidRDefault="0070362B" w:rsidP="0070362B">
            <w:pPr>
              <w:pStyle w:val="ListParagraph"/>
            </w:pPr>
          </w:p>
          <w:p w14:paraId="6BB1534D" w14:textId="3EE2C362" w:rsidR="00141667" w:rsidRDefault="00141667" w:rsidP="0070362B">
            <w:pPr>
              <w:pStyle w:val="ListParagraph"/>
              <w:numPr>
                <w:ilvl w:val="0"/>
                <w:numId w:val="6"/>
              </w:numPr>
            </w:pPr>
            <w:r>
              <w:t>Para 5: Supports e</w:t>
            </w:r>
            <w:r w:rsidRPr="00141667">
              <w:t xml:space="preserve">ither options 2 or 3 </w:t>
            </w:r>
            <w:proofErr w:type="gramStart"/>
            <w:r w:rsidRPr="00141667">
              <w:t>in order to</w:t>
            </w:r>
            <w:proofErr w:type="gramEnd"/>
            <w:r w:rsidRPr="00141667">
              <w:t xml:space="preserve"> allow essential technical refinement to the Indicator List</w:t>
            </w:r>
            <w:r>
              <w:t>. O</w:t>
            </w:r>
            <w:r w:rsidRPr="00141667">
              <w:t>pposes option 1.</w:t>
            </w:r>
          </w:p>
          <w:p w14:paraId="140E42D7" w14:textId="5EA2F83A" w:rsidR="00141667" w:rsidRDefault="00141667" w:rsidP="0070362B">
            <w:pPr>
              <w:pStyle w:val="ListParagraph"/>
              <w:numPr>
                <w:ilvl w:val="0"/>
                <w:numId w:val="6"/>
              </w:numPr>
            </w:pPr>
            <w:r>
              <w:t>Para 11: S</w:t>
            </w:r>
            <w:r w:rsidRPr="00141667">
              <w:t>upports Option 3 with deletion of bracketed material in 3g and 3h. HACA does not support Option 1 or Option 2</w:t>
            </w:r>
            <w:r w:rsidR="0070362B">
              <w:t>.</w:t>
            </w:r>
          </w:p>
          <w:p w14:paraId="4FE40444" w14:textId="310A953B" w:rsidR="0070362B" w:rsidRDefault="0070362B" w:rsidP="0070362B">
            <w:pPr>
              <w:pStyle w:val="ListParagraph"/>
              <w:numPr>
                <w:ilvl w:val="0"/>
                <w:numId w:val="6"/>
              </w:numPr>
            </w:pPr>
            <w:r>
              <w:t>Para 12: P</w:t>
            </w:r>
            <w:r w:rsidRPr="0070362B">
              <w:t>refers option 2 (with the “refinement of the indicators” text selected).</w:t>
            </w:r>
          </w:p>
          <w:p w14:paraId="59F54BE3" w14:textId="2770DAE4" w:rsidR="0070362B" w:rsidRDefault="0070362B" w:rsidP="0070362B">
            <w:pPr>
              <w:pStyle w:val="ListParagraph"/>
              <w:numPr>
                <w:ilvl w:val="0"/>
                <w:numId w:val="6"/>
              </w:numPr>
            </w:pPr>
            <w:r>
              <w:t>Para 13</w:t>
            </w:r>
            <w:r w:rsidRPr="0070362B">
              <w:t>: Add references to cross-cutting issues set out in 2/CMA.5, para 14, 22 and 23</w:t>
            </w:r>
            <w:r>
              <w:t xml:space="preserve"> (see suggested language below)</w:t>
            </w:r>
          </w:p>
          <w:p w14:paraId="246C71AD" w14:textId="78FFF1DE" w:rsidR="0070362B" w:rsidRDefault="0070362B" w:rsidP="00BC7755">
            <w:pPr>
              <w:pStyle w:val="ListParagraph"/>
              <w:numPr>
                <w:ilvl w:val="0"/>
                <w:numId w:val="6"/>
              </w:numPr>
            </w:pPr>
            <w:r>
              <w:t>Para 20-24: Support inclusion.</w:t>
            </w:r>
          </w:p>
          <w:p w14:paraId="2DD1B441" w14:textId="6E10850A" w:rsidR="00141667" w:rsidRDefault="00141667" w:rsidP="00BC7755"/>
        </w:tc>
      </w:tr>
    </w:tbl>
    <w:p w14:paraId="16AB0730" w14:textId="77777777" w:rsidR="00141667" w:rsidRDefault="00141667" w:rsidP="00BC7755">
      <w:pPr>
        <w:spacing w:after="0"/>
      </w:pPr>
    </w:p>
    <w:p w14:paraId="7C46C5BA" w14:textId="163A564F" w:rsidR="00212E71" w:rsidRDefault="00694380" w:rsidP="00BC7755">
      <w:pPr>
        <w:spacing w:after="0"/>
      </w:pPr>
      <w:r>
        <w:t>C</w:t>
      </w:r>
      <w:r w:rsidRPr="00694380">
        <w:t xml:space="preserve">OP30 President André Corrêa do Lago </w:t>
      </w:r>
      <w:r>
        <w:t xml:space="preserve">has </w:t>
      </w:r>
      <w:r w:rsidRPr="00694380">
        <w:t xml:space="preserve">declared that </w:t>
      </w:r>
      <w:r w:rsidR="004A0EA0">
        <w:t xml:space="preserve">this COP </w:t>
      </w:r>
      <w:r w:rsidRPr="00694380">
        <w:t xml:space="preserve">must be remembered as the </w:t>
      </w:r>
      <w:r>
        <w:t>“</w:t>
      </w:r>
      <w:r w:rsidRPr="00694380">
        <w:t>COP of adaptation implementation</w:t>
      </w:r>
      <w:r w:rsidR="00D83E5E">
        <w:t>.</w:t>
      </w:r>
      <w:r>
        <w:t>”</w:t>
      </w:r>
      <w:r>
        <w:rPr>
          <w:rStyle w:val="EndnoteReference"/>
        </w:rPr>
        <w:endnoteReference w:id="1"/>
      </w:r>
      <w:r w:rsidR="00D83E5E">
        <w:t xml:space="preserve"> </w:t>
      </w:r>
      <w:r>
        <w:t>However, d</w:t>
      </w:r>
      <w:r w:rsidRPr="00694380">
        <w:t xml:space="preserve">uring </w:t>
      </w:r>
      <w:r w:rsidR="004A0EA0">
        <w:t xml:space="preserve">COP30’s </w:t>
      </w:r>
      <w:r w:rsidRPr="00694380">
        <w:t>first week (known as SB63)</w:t>
      </w:r>
      <w:r>
        <w:t xml:space="preserve">, </w:t>
      </w:r>
      <w:r w:rsidR="004A0EA0">
        <w:t>UNFCCC Member States were unable to agree on basic elements of an adaptation decision</w:t>
      </w:r>
      <w:r>
        <w:t xml:space="preserve">. </w:t>
      </w:r>
      <w:r w:rsidR="004A0EA0">
        <w:t xml:space="preserve">As a result, </w:t>
      </w:r>
      <w:r w:rsidR="00F427D9">
        <w:t xml:space="preserve">it was </w:t>
      </w:r>
      <w:r w:rsidR="004A0EA0">
        <w:t xml:space="preserve">decided </w:t>
      </w:r>
      <w:r w:rsidR="00F427D9">
        <w:t xml:space="preserve">that </w:t>
      </w:r>
      <w:r>
        <w:t>a</w:t>
      </w:r>
      <w:r w:rsidR="004A0EA0">
        <w:t xml:space="preserve"> heavily bracketed i</w:t>
      </w:r>
      <w:r w:rsidR="00330804" w:rsidRPr="00BC7755">
        <w:t>nformal text</w:t>
      </w:r>
      <w:r w:rsidR="00F427D9">
        <w:rPr>
          <w:rStyle w:val="EndnoteReference"/>
        </w:rPr>
        <w:endnoteReference w:id="2"/>
      </w:r>
      <w:r w:rsidR="00330804" w:rsidRPr="00BC7755">
        <w:t xml:space="preserve"> </w:t>
      </w:r>
      <w:r w:rsidR="004A0EA0">
        <w:t>proposed by t</w:t>
      </w:r>
      <w:r w:rsidR="00330804" w:rsidRPr="00BC7755">
        <w:t xml:space="preserve">he </w:t>
      </w:r>
      <w:r w:rsidR="006663CF">
        <w:t xml:space="preserve">Co-Chairs of the UNFCCC </w:t>
      </w:r>
      <w:r w:rsidR="00DE6CD9" w:rsidRPr="00BC7755">
        <w:t>Subsidiary</w:t>
      </w:r>
      <w:r w:rsidR="00C72141" w:rsidRPr="00BC7755">
        <w:t xml:space="preserve"> Bodies</w:t>
      </w:r>
      <w:r w:rsidR="004A0EA0">
        <w:t xml:space="preserve"> </w:t>
      </w:r>
      <w:r w:rsidR="00C72141" w:rsidRPr="00BC7755">
        <w:t>w</w:t>
      </w:r>
      <w:r w:rsidR="004A0EA0">
        <w:t xml:space="preserve">ould </w:t>
      </w:r>
      <w:r w:rsidR="00C72141" w:rsidRPr="00BC7755">
        <w:t xml:space="preserve">form the basis of </w:t>
      </w:r>
      <w:r w:rsidR="00732F51">
        <w:t xml:space="preserve">adaptation </w:t>
      </w:r>
      <w:r w:rsidR="00C72141" w:rsidRPr="00BC7755">
        <w:t>deliberations during COP’s final week</w:t>
      </w:r>
      <w:r w:rsidR="002D1DCF">
        <w:t xml:space="preserve"> (known as CMA/6)</w:t>
      </w:r>
      <w:r w:rsidR="00330804" w:rsidRPr="00BC7755">
        <w:t xml:space="preserve">. </w:t>
      </w:r>
      <w:r w:rsidR="004D02AC">
        <w:t xml:space="preserve">President </w:t>
      </w:r>
      <w:r w:rsidR="004D02AC" w:rsidRPr="004D02AC">
        <w:t xml:space="preserve">Correa do Lago </w:t>
      </w:r>
      <w:r w:rsidR="004D02AC">
        <w:t xml:space="preserve">has </w:t>
      </w:r>
      <w:r w:rsidR="00DE6CD9" w:rsidRPr="00BC7755">
        <w:t>asked t</w:t>
      </w:r>
      <w:r w:rsidR="00330804" w:rsidRPr="00BC7755">
        <w:t xml:space="preserve">wo </w:t>
      </w:r>
      <w:r w:rsidR="00DE6CD9" w:rsidRPr="00BC7755">
        <w:t>diplomats</w:t>
      </w:r>
      <w:r w:rsidR="00330804" w:rsidRPr="00BC7755">
        <w:t>,</w:t>
      </w:r>
      <w:r w:rsidR="00DE6CD9" w:rsidRPr="00BC7755">
        <w:t xml:space="preserve"> Rohey John Manjang (The Gambia) and Jochen Flasbarth (Germany)</w:t>
      </w:r>
      <w:r w:rsidR="00330804" w:rsidRPr="00BC7755">
        <w:t xml:space="preserve">, </w:t>
      </w:r>
      <w:r w:rsidR="00DE6CD9" w:rsidRPr="00BC7755">
        <w:t xml:space="preserve">to use “shuttle diplomacy” to </w:t>
      </w:r>
      <w:r w:rsidR="002D1DCF">
        <w:t>help find a</w:t>
      </w:r>
      <w:r w:rsidR="004D02AC">
        <w:t>greement b</w:t>
      </w:r>
      <w:r w:rsidR="00330804" w:rsidRPr="00BC7755">
        <w:t xml:space="preserve">efore </w:t>
      </w:r>
      <w:r w:rsidR="006663CF">
        <w:t xml:space="preserve">the </w:t>
      </w:r>
      <w:r w:rsidR="002D1DCF">
        <w:t>expected</w:t>
      </w:r>
      <w:r w:rsidR="00330804" w:rsidRPr="00BC7755">
        <w:t xml:space="preserve"> adjourn</w:t>
      </w:r>
      <w:r w:rsidR="002D1DCF">
        <w:t xml:space="preserve">ment </w:t>
      </w:r>
      <w:r w:rsidR="006663CF">
        <w:t xml:space="preserve">of COP30 </w:t>
      </w:r>
      <w:r w:rsidR="002D1DCF">
        <w:t>o</w:t>
      </w:r>
      <w:r w:rsidR="00330804" w:rsidRPr="00BC7755">
        <w:t>n 21 Nov.</w:t>
      </w:r>
    </w:p>
    <w:p w14:paraId="2D4B4997" w14:textId="6105430C" w:rsidR="00BC7755" w:rsidRPr="00BC7755" w:rsidRDefault="00BC7755" w:rsidP="00BC7755">
      <w:pPr>
        <w:spacing w:after="0"/>
      </w:pPr>
    </w:p>
    <w:p w14:paraId="2DD7910B" w14:textId="736E8E0F" w:rsidR="00BC7755" w:rsidRDefault="002D1DCF" w:rsidP="00BC7755">
      <w:pPr>
        <w:spacing w:after="0"/>
      </w:pPr>
      <w:r>
        <w:t xml:space="preserve">The Heritage Adapts to Climate Alliance (HACA) </w:t>
      </w:r>
      <w:r w:rsidR="00053183" w:rsidRPr="00BC7755">
        <w:t xml:space="preserve">includes hundreds of </w:t>
      </w:r>
      <w:proofErr w:type="gramStart"/>
      <w:r w:rsidR="00053183" w:rsidRPr="00BC7755">
        <w:t>culture</w:t>
      </w:r>
      <w:proofErr w:type="gramEnd"/>
      <w:r w:rsidR="00053183" w:rsidRPr="00BC7755">
        <w:t xml:space="preserve"> and heritage knowledge bearers</w:t>
      </w:r>
      <w:r w:rsidR="00BC7755">
        <w:t>,</w:t>
      </w:r>
      <w:r w:rsidR="00BC7755" w:rsidRPr="00BC7755">
        <w:t xml:space="preserve"> experts, </w:t>
      </w:r>
      <w:r w:rsidR="00053183" w:rsidRPr="00BC7755">
        <w:t xml:space="preserve">and advocates </w:t>
      </w:r>
      <w:r w:rsidR="00BC7755" w:rsidRPr="00BC7755">
        <w:t>from every continent and a wide variety of disciplines, genres, and communities</w:t>
      </w:r>
      <w:r w:rsidR="00053183" w:rsidRPr="00BC7755">
        <w:t xml:space="preserve">. </w:t>
      </w:r>
      <w:r w:rsidR="00B54E99">
        <w:t xml:space="preserve">HACA members are </w:t>
      </w:r>
      <w:r w:rsidR="00B54E99" w:rsidRPr="00B54E99">
        <w:t xml:space="preserve">deeply involved in implementing culture- and heritage-based adaptation solutions, including those guided by Indigenous Knowledge, traditional knowledge, and local knowledge (IK/TK/LK) and rooted in nature-based solutions, </w:t>
      </w:r>
      <w:proofErr w:type="gramStart"/>
      <w:r w:rsidR="00B54E99" w:rsidRPr="00B54E99">
        <w:t>locally-led</w:t>
      </w:r>
      <w:proofErr w:type="gramEnd"/>
      <w:r w:rsidR="00B54E99" w:rsidRPr="00B54E99">
        <w:t xml:space="preserve"> adaptation, and intersectional approaches,</w:t>
      </w:r>
    </w:p>
    <w:p w14:paraId="6395720D" w14:textId="77777777" w:rsidR="00B54E99" w:rsidRDefault="00B54E99" w:rsidP="00BC7755">
      <w:pPr>
        <w:spacing w:after="0"/>
      </w:pPr>
    </w:p>
    <w:p w14:paraId="09C2B828" w14:textId="75918256" w:rsidR="006663CF" w:rsidRDefault="00F427D9" w:rsidP="00BC7755">
      <w:pPr>
        <w:spacing w:after="0"/>
      </w:pPr>
      <w:r>
        <w:t xml:space="preserve">A core element of COP’s adaptation decision is expected to be adoption of </w:t>
      </w:r>
      <w:r w:rsidR="00694380" w:rsidRPr="00694380">
        <w:t xml:space="preserve">new indicators for measuring progress against the Global Goal on Adaptation </w:t>
      </w:r>
      <w:r>
        <w:t xml:space="preserve">framework (GGA) adopted at COP28, including its </w:t>
      </w:r>
      <w:hyperlink r:id="rId8" w:history="1">
        <w:r w:rsidRPr="003D2816">
          <w:rPr>
            <w:rStyle w:val="Hyperlink"/>
          </w:rPr>
          <w:t>breakthrough cultural heritage thematic targe</w:t>
        </w:r>
        <w:r w:rsidR="008E3FD9">
          <w:rPr>
            <w:rStyle w:val="Hyperlink"/>
          </w:rPr>
          <w:t>t 9g</w:t>
        </w:r>
      </w:hyperlink>
      <w:r>
        <w:t>.</w:t>
      </w:r>
      <w:r w:rsidR="003D2816">
        <w:rPr>
          <w:rStyle w:val="EndnoteReference"/>
        </w:rPr>
        <w:endnoteReference w:id="3"/>
      </w:r>
      <w:r>
        <w:t xml:space="preserve"> T</w:t>
      </w:r>
      <w:r w:rsidR="00B54E99">
        <w:t xml:space="preserve">he </w:t>
      </w:r>
      <w:r w:rsidR="00B54E99" w:rsidRPr="00B54E99">
        <w:t>UAE-Belém Work Programme</w:t>
      </w:r>
      <w:r w:rsidR="00B54E99">
        <w:t xml:space="preserve"> </w:t>
      </w:r>
      <w:r w:rsidR="006663CF">
        <w:t xml:space="preserve">(WP) </w:t>
      </w:r>
      <w:r>
        <w:t>has been working for almost two years to prepare recommend</w:t>
      </w:r>
      <w:r w:rsidR="004A0EA0">
        <w:t xml:space="preserve">ed </w:t>
      </w:r>
      <w:r w:rsidR="004A0EA0">
        <w:lastRenderedPageBreak/>
        <w:t xml:space="preserve">indicators </w:t>
      </w:r>
      <w:r>
        <w:t xml:space="preserve">for COP30’s consideration. </w:t>
      </w:r>
      <w:r w:rsidR="00B54E99">
        <w:t>A “</w:t>
      </w:r>
      <w:r w:rsidR="00B54E99" w:rsidRPr="00B54E99">
        <w:t>Final List of Potential Indicators</w:t>
      </w:r>
      <w:r w:rsidR="00B54E99">
        <w:t>”</w:t>
      </w:r>
      <w:r w:rsidR="003D2816">
        <w:rPr>
          <w:rStyle w:val="EndnoteReference"/>
        </w:rPr>
        <w:endnoteReference w:id="4"/>
      </w:r>
      <w:r w:rsidR="00B54E99" w:rsidRPr="00B54E99">
        <w:t xml:space="preserve"> (Indicators List) was delivered on 7 September 2025 by an Expert Group convened by the </w:t>
      </w:r>
      <w:r w:rsidR="006663CF">
        <w:t xml:space="preserve">SB </w:t>
      </w:r>
      <w:r w:rsidR="00B54E99" w:rsidRPr="00B54E99">
        <w:t>Co-Chairs</w:t>
      </w:r>
      <w:r w:rsidR="006663CF">
        <w:t xml:space="preserve"> under the WP</w:t>
      </w:r>
      <w:r w:rsidR="00B54E99" w:rsidRPr="00B54E99">
        <w:t>.</w:t>
      </w:r>
      <w:r>
        <w:t xml:space="preserve"> HACA engaged robustly in every step of the WP process</w:t>
      </w:r>
      <w:r w:rsidR="006663CF">
        <w:t>.</w:t>
      </w:r>
      <w:r w:rsidR="003D2816">
        <w:rPr>
          <w:rStyle w:val="EndnoteReference"/>
        </w:rPr>
        <w:endnoteReference w:id="5"/>
      </w:r>
      <w:r w:rsidR="006663CF">
        <w:t xml:space="preserve"> </w:t>
      </w:r>
    </w:p>
    <w:p w14:paraId="6E037D9B" w14:textId="77777777" w:rsidR="006663CF" w:rsidRDefault="006663CF" w:rsidP="00BC7755">
      <w:pPr>
        <w:spacing w:after="0"/>
      </w:pPr>
    </w:p>
    <w:p w14:paraId="1C56A695" w14:textId="20A4586B" w:rsidR="006663CF" w:rsidRDefault="008E3FD9" w:rsidP="00BC7755">
      <w:pPr>
        <w:spacing w:after="0"/>
      </w:pPr>
      <w:r>
        <w:t xml:space="preserve">A summary of culture and heritage implications for </w:t>
      </w:r>
      <w:r w:rsidR="006663CF">
        <w:t xml:space="preserve">other key elements of the COP30 adaptation agenda can be </w:t>
      </w:r>
      <w:hyperlink r:id="rId9" w:history="1">
        <w:r w:rsidR="006663CF" w:rsidRPr="00F427D9">
          <w:rPr>
            <w:rStyle w:val="Hyperlink"/>
          </w:rPr>
          <w:t>found in this article</w:t>
        </w:r>
      </w:hyperlink>
      <w:r w:rsidR="006663CF">
        <w:t>.</w:t>
      </w:r>
      <w:r w:rsidR="00F427D9">
        <w:rPr>
          <w:rStyle w:val="EndnoteReference"/>
        </w:rPr>
        <w:endnoteReference w:id="6"/>
      </w:r>
    </w:p>
    <w:p w14:paraId="3E1EBA3B" w14:textId="77777777" w:rsidR="006663CF" w:rsidRDefault="006663CF" w:rsidP="00BC7755">
      <w:pPr>
        <w:spacing w:after="0"/>
      </w:pPr>
    </w:p>
    <w:p w14:paraId="340AF5F9" w14:textId="15E5CA69" w:rsidR="006663CF" w:rsidRPr="006663CF" w:rsidRDefault="006663CF" w:rsidP="006663CF">
      <w:pPr>
        <w:spacing w:after="0"/>
        <w:jc w:val="center"/>
        <w:rPr>
          <w:b/>
          <w:bCs/>
          <w:u w:val="single"/>
        </w:rPr>
      </w:pPr>
      <w:r w:rsidRPr="006663CF">
        <w:rPr>
          <w:b/>
          <w:bCs/>
          <w:u w:val="single"/>
        </w:rPr>
        <w:t xml:space="preserve">Feeback on 15 November </w:t>
      </w:r>
      <w:r w:rsidR="00F427D9">
        <w:rPr>
          <w:b/>
          <w:bCs/>
          <w:u w:val="single"/>
        </w:rPr>
        <w:t xml:space="preserve">Co-Chair’s </w:t>
      </w:r>
      <w:r w:rsidRPr="006663CF">
        <w:rPr>
          <w:b/>
          <w:bCs/>
          <w:u w:val="single"/>
        </w:rPr>
        <w:t>Proposal</w:t>
      </w:r>
    </w:p>
    <w:p w14:paraId="28BEC5AF" w14:textId="77777777" w:rsidR="006663CF" w:rsidRDefault="006663CF" w:rsidP="00BC7755">
      <w:pPr>
        <w:spacing w:after="0"/>
      </w:pPr>
    </w:p>
    <w:p w14:paraId="5FC0CFA7" w14:textId="461898FE" w:rsidR="00330804" w:rsidRDefault="008E3FD9" w:rsidP="00BC7755">
      <w:pPr>
        <w:spacing w:after="0"/>
      </w:pPr>
      <w:r>
        <w:t xml:space="preserve">HACA </w:t>
      </w:r>
      <w:r w:rsidR="00330804" w:rsidRPr="00BC7755">
        <w:t>offer</w:t>
      </w:r>
      <w:r>
        <w:t>s</w:t>
      </w:r>
      <w:r w:rsidR="00330804" w:rsidRPr="00BC7755">
        <w:t xml:space="preserve"> the following feedback </w:t>
      </w:r>
      <w:r w:rsidR="00DE6CD9" w:rsidRPr="00BC7755">
        <w:t xml:space="preserve">on the </w:t>
      </w:r>
      <w:r w:rsidR="005F3412" w:rsidRPr="00BC7755">
        <w:t xml:space="preserve">SB Co-Chairs’ Proposal </w:t>
      </w:r>
      <w:r w:rsidR="00330804" w:rsidRPr="00BC7755">
        <w:t xml:space="preserve">to ensure the final </w:t>
      </w:r>
      <w:r w:rsidR="00053183" w:rsidRPr="00BC7755">
        <w:t xml:space="preserve">GGA </w:t>
      </w:r>
      <w:r w:rsidR="00330804" w:rsidRPr="00BC7755">
        <w:t>decision is robust, practical, and effective</w:t>
      </w:r>
      <w:r w:rsidR="00732F51">
        <w:t xml:space="preserve">: </w:t>
      </w:r>
    </w:p>
    <w:p w14:paraId="11BC050E" w14:textId="77777777" w:rsidR="00BC7755" w:rsidRDefault="00BC7755" w:rsidP="00BC7755">
      <w:pPr>
        <w:spacing w:after="0"/>
      </w:pPr>
    </w:p>
    <w:p w14:paraId="4470BF6B" w14:textId="73EF6280" w:rsidR="002D1DCF" w:rsidRPr="002D1DCF" w:rsidRDefault="002D1DCF" w:rsidP="00BC7755">
      <w:pPr>
        <w:spacing w:after="0"/>
        <w:rPr>
          <w:b/>
          <w:bCs/>
          <w:u w:val="single"/>
        </w:rPr>
      </w:pPr>
      <w:r w:rsidRPr="002D1DCF">
        <w:rPr>
          <w:b/>
          <w:bCs/>
          <w:u w:val="single"/>
        </w:rPr>
        <w:t>UAE Work Programme on adaptation indicators</w:t>
      </w:r>
    </w:p>
    <w:p w14:paraId="442FDC6C" w14:textId="77777777" w:rsidR="002D1DCF" w:rsidRDefault="002D1DCF" w:rsidP="00BC7755">
      <w:pPr>
        <w:spacing w:after="0"/>
        <w:rPr>
          <w:b/>
          <w:bCs/>
        </w:rPr>
      </w:pPr>
    </w:p>
    <w:p w14:paraId="3727CDDB" w14:textId="6FC9BE56" w:rsidR="00022D55" w:rsidRDefault="00BC7755" w:rsidP="00BC7755">
      <w:pPr>
        <w:spacing w:after="0"/>
      </w:pPr>
      <w:r w:rsidRPr="00732F51">
        <w:rPr>
          <w:b/>
          <w:bCs/>
        </w:rPr>
        <w:t>P</w:t>
      </w:r>
      <w:r w:rsidR="005F3412" w:rsidRPr="00732F51">
        <w:rPr>
          <w:b/>
          <w:bCs/>
        </w:rPr>
        <w:t>aragraph 5</w:t>
      </w:r>
      <w:r w:rsidR="005F3412" w:rsidRPr="00BC7755">
        <w:t xml:space="preserve"> </w:t>
      </w:r>
      <w:r w:rsidR="00B54E99">
        <w:t xml:space="preserve">of the SB Co-Chairs’ Proposal </w:t>
      </w:r>
      <w:r w:rsidR="005F3412" w:rsidRPr="00BC7755">
        <w:t>outlines three options</w:t>
      </w:r>
      <w:r w:rsidR="00B54E99">
        <w:t xml:space="preserve"> regarding the Indicators List</w:t>
      </w:r>
      <w:r w:rsidR="005F3412" w:rsidRPr="00BC7755">
        <w:t xml:space="preserve">: </w:t>
      </w:r>
      <w:r w:rsidR="004253CC" w:rsidRPr="00BC7755">
        <w:t xml:space="preserve">(1) </w:t>
      </w:r>
      <w:r w:rsidR="0001707A">
        <w:t>a</w:t>
      </w:r>
      <w:r w:rsidR="00DE3867" w:rsidRPr="00BC7755">
        <w:t>dopt</w:t>
      </w:r>
      <w:r w:rsidR="005F3412" w:rsidRPr="00BC7755">
        <w:t xml:space="preserve"> </w:t>
      </w:r>
      <w:r w:rsidR="00B54E99">
        <w:t xml:space="preserve">it </w:t>
      </w:r>
      <w:r w:rsidR="005F3412" w:rsidRPr="00BC7755">
        <w:t>as is; (2) a</w:t>
      </w:r>
      <w:r w:rsidR="00DE3867" w:rsidRPr="00BC7755">
        <w:t>gree to further consider</w:t>
      </w:r>
      <w:r w:rsidR="00B54E99">
        <w:t xml:space="preserve"> it w</w:t>
      </w:r>
      <w:r w:rsidR="00DE3867" w:rsidRPr="00BC7755">
        <w:t xml:space="preserve">ith a view to adoption at </w:t>
      </w:r>
      <w:r w:rsidR="005F3412" w:rsidRPr="00BC7755">
        <w:t>COP32; or (3) simply t</w:t>
      </w:r>
      <w:r w:rsidR="00DE3867" w:rsidRPr="00BC7755">
        <w:t xml:space="preserve">ake note of the </w:t>
      </w:r>
      <w:r w:rsidR="00B54E99">
        <w:t xml:space="preserve">Indicator List </w:t>
      </w:r>
      <w:r w:rsidR="0001707A">
        <w:t>as a “k</w:t>
      </w:r>
      <w:r w:rsidR="00DE3867" w:rsidRPr="00BC7755">
        <w:t>nowledge product.</w:t>
      </w:r>
      <w:r w:rsidR="0001707A">
        <w:t>”</w:t>
      </w:r>
    </w:p>
    <w:p w14:paraId="3F1263B8" w14:textId="77777777" w:rsidR="00B54E99" w:rsidRPr="00BC7755" w:rsidRDefault="00B54E99" w:rsidP="00BC7755">
      <w:pPr>
        <w:spacing w:after="0"/>
      </w:pPr>
    </w:p>
    <w:p w14:paraId="60C66396" w14:textId="77777777" w:rsidR="008E3FD9" w:rsidRDefault="00022D55" w:rsidP="00BC7755">
      <w:pPr>
        <w:spacing w:after="0"/>
      </w:pPr>
      <w:r w:rsidRPr="00BC7755">
        <w:t>Given the critical gaps identified in Para 11 of the SB Co-Chair’s proposal (see below), HACA cautions against the premature adoption of an incomplete list as suggested in Option 1</w:t>
      </w:r>
      <w:r w:rsidR="0001707A">
        <w:t xml:space="preserve"> (</w:t>
      </w:r>
      <w:r w:rsidRPr="00BC7755">
        <w:t>especially in the absence of any mandated process for correcting flaws in the Expert text</w:t>
      </w:r>
      <w:r w:rsidR="0001707A">
        <w:t>)</w:t>
      </w:r>
      <w:r w:rsidRPr="00BC7755">
        <w:t xml:space="preserve">. </w:t>
      </w:r>
    </w:p>
    <w:p w14:paraId="062D82F3" w14:textId="77777777" w:rsidR="008E3FD9" w:rsidRDefault="008E3FD9" w:rsidP="00BC7755">
      <w:pPr>
        <w:spacing w:after="0"/>
      </w:pPr>
    </w:p>
    <w:p w14:paraId="5F25150F" w14:textId="0D975023" w:rsidR="00DE3867" w:rsidRPr="00BC7755" w:rsidRDefault="008E3FD9" w:rsidP="00BC7755">
      <w:pPr>
        <w:spacing w:after="0"/>
      </w:pPr>
      <w:r w:rsidRPr="006D3F4F">
        <w:rPr>
          <w:highlight w:val="yellow"/>
        </w:rPr>
        <w:t xml:space="preserve">HACA Recommendation: </w:t>
      </w:r>
      <w:r w:rsidR="0001707A" w:rsidRPr="006D3F4F">
        <w:rPr>
          <w:highlight w:val="yellow"/>
        </w:rPr>
        <w:t>HACA s</w:t>
      </w:r>
      <w:r w:rsidR="00022D55" w:rsidRPr="006D3F4F">
        <w:rPr>
          <w:highlight w:val="yellow"/>
        </w:rPr>
        <w:t>upport</w:t>
      </w:r>
      <w:r w:rsidR="0001707A" w:rsidRPr="006D3F4F">
        <w:rPr>
          <w:highlight w:val="yellow"/>
        </w:rPr>
        <w:t>s</w:t>
      </w:r>
      <w:r w:rsidR="00022D55" w:rsidRPr="006D3F4F">
        <w:rPr>
          <w:highlight w:val="yellow"/>
        </w:rPr>
        <w:t xml:space="preserve"> </w:t>
      </w:r>
      <w:r w:rsidR="006D3F4F" w:rsidRPr="006D3F4F">
        <w:rPr>
          <w:highlight w:val="yellow"/>
        </w:rPr>
        <w:t xml:space="preserve">either </w:t>
      </w:r>
      <w:r w:rsidR="005F3412" w:rsidRPr="006D3F4F">
        <w:rPr>
          <w:highlight w:val="yellow"/>
        </w:rPr>
        <w:t xml:space="preserve">options 2 </w:t>
      </w:r>
      <w:r w:rsidR="006D3F4F" w:rsidRPr="006D3F4F">
        <w:rPr>
          <w:highlight w:val="yellow"/>
        </w:rPr>
        <w:t xml:space="preserve">or 3 </w:t>
      </w:r>
      <w:proofErr w:type="gramStart"/>
      <w:r w:rsidR="006D3F4F" w:rsidRPr="006D3F4F">
        <w:rPr>
          <w:highlight w:val="yellow"/>
        </w:rPr>
        <w:t>in order to</w:t>
      </w:r>
      <w:proofErr w:type="gramEnd"/>
      <w:r w:rsidR="006D3F4F" w:rsidRPr="006D3F4F">
        <w:rPr>
          <w:highlight w:val="yellow"/>
        </w:rPr>
        <w:t xml:space="preserve"> allow essential technical refinement to the Indicator List</w:t>
      </w:r>
      <w:r w:rsidR="006D3F4F">
        <w:rPr>
          <w:highlight w:val="yellow"/>
        </w:rPr>
        <w:t xml:space="preserve"> and opposes option 1</w:t>
      </w:r>
      <w:r w:rsidR="00022D55" w:rsidRPr="006D3F4F">
        <w:rPr>
          <w:highlight w:val="yellow"/>
        </w:rPr>
        <w:t>.</w:t>
      </w:r>
      <w:r w:rsidR="00022D55" w:rsidRPr="00BC7755">
        <w:t xml:space="preserve"> </w:t>
      </w:r>
    </w:p>
    <w:p w14:paraId="7460460E" w14:textId="77777777" w:rsidR="004253CC" w:rsidRDefault="004253CC" w:rsidP="00BC7755">
      <w:pPr>
        <w:spacing w:after="0"/>
      </w:pPr>
    </w:p>
    <w:p w14:paraId="4BA12C2C" w14:textId="71C5DE80" w:rsidR="00BC7755" w:rsidRDefault="00BC7755" w:rsidP="00BC7755">
      <w:pPr>
        <w:spacing w:after="0"/>
      </w:pPr>
      <w:r w:rsidRPr="0070362B">
        <w:rPr>
          <w:b/>
          <w:bCs/>
        </w:rPr>
        <w:t>Paragraph 11</w:t>
      </w:r>
      <w:r>
        <w:t xml:space="preserve"> outlines general reflections on the Experts’ recommendations.  </w:t>
      </w:r>
      <w:r w:rsidR="008E3FD9">
        <w:t xml:space="preserve">HACA joins </w:t>
      </w:r>
      <w:r>
        <w:t xml:space="preserve">the International Federation of Landscape Architects </w:t>
      </w:r>
      <w:r w:rsidR="008E3FD9">
        <w:t xml:space="preserve">and other groups </w:t>
      </w:r>
      <w:r>
        <w:t>in supporting the significant concerns outlined in Option 3, regarding the</w:t>
      </w:r>
      <w:r w:rsidR="008E3FD9">
        <w:t xml:space="preserve"> shortcomings </w:t>
      </w:r>
      <w:r>
        <w:t xml:space="preserve">of the current </w:t>
      </w:r>
      <w:r w:rsidR="008E3FD9">
        <w:t>I</w:t>
      </w:r>
      <w:r>
        <w:t xml:space="preserve">ndicator </w:t>
      </w:r>
      <w:r w:rsidR="008E3FD9">
        <w:t>L</w:t>
      </w:r>
      <w:r>
        <w:t xml:space="preserve">ist. </w:t>
      </w:r>
      <w:r w:rsidR="008E3FD9">
        <w:t xml:space="preserve">We especially note the </w:t>
      </w:r>
      <w:r>
        <w:t xml:space="preserve">concern </w:t>
      </w:r>
      <w:r w:rsidR="008E3FD9">
        <w:t xml:space="preserve">(currently bracketed) </w:t>
      </w:r>
      <w:r>
        <w:t xml:space="preserve">that the </w:t>
      </w:r>
      <w:r w:rsidR="008E3FD9">
        <w:t xml:space="preserve">Indicator </w:t>
      </w:r>
      <w:proofErr w:type="gramStart"/>
      <w:r w:rsidR="008E3FD9">
        <w:t xml:space="preserve">List </w:t>
      </w:r>
      <w:r>
        <w:t xml:space="preserve"> "</w:t>
      </w:r>
      <w:proofErr w:type="gramEnd"/>
      <w:r>
        <w:t xml:space="preserve">lacks indicators for critical infrastructure" </w:t>
      </w:r>
      <w:r w:rsidR="008E3FD9">
        <w:t xml:space="preserve">(Option 3, para 11j). </w:t>
      </w:r>
      <w:proofErr w:type="gramStart"/>
      <w:r>
        <w:t>Indicative of the</w:t>
      </w:r>
      <w:proofErr w:type="gramEnd"/>
      <w:r>
        <w:t xml:space="preserve"> problem </w:t>
      </w:r>
      <w:r w:rsidR="008E3FD9">
        <w:t>is the fact that the Indicator List completely ignores the final s</w:t>
      </w:r>
      <w:r>
        <w:t xml:space="preserve">ubcomponent of the Cultural Heritage Target </w:t>
      </w:r>
      <w:r w:rsidR="008E3FD9">
        <w:t xml:space="preserve">9g </w:t>
      </w:r>
      <w:r>
        <w:t>on designing climate-resilient infrastructure guided by IK/TK/LK.</w:t>
      </w:r>
      <w:r w:rsidR="008E3FD9">
        <w:rPr>
          <w:rStyle w:val="EndnoteReference"/>
        </w:rPr>
        <w:endnoteReference w:id="7"/>
      </w:r>
      <w:r>
        <w:t xml:space="preserve"> </w:t>
      </w:r>
    </w:p>
    <w:p w14:paraId="7D855D8B" w14:textId="77777777" w:rsidR="008E3FD9" w:rsidRDefault="008E3FD9" w:rsidP="00BC7755">
      <w:pPr>
        <w:spacing w:after="0"/>
      </w:pPr>
    </w:p>
    <w:p w14:paraId="3BFCBD7C" w14:textId="302814BA" w:rsidR="0003321B" w:rsidRDefault="006D3F4F" w:rsidP="00BC7755">
      <w:pPr>
        <w:spacing w:after="0"/>
      </w:pPr>
      <w:r>
        <w:t>However, HACA opposes inclusion in the text of option 3 clause 3</w:t>
      </w:r>
      <w:proofErr w:type="gramStart"/>
      <w:r>
        <w:t>g (“</w:t>
      </w:r>
      <w:proofErr w:type="gramEnd"/>
      <w:r w:rsidR="00BC7755">
        <w:t xml:space="preserve">[Requires full methodological development before being </w:t>
      </w:r>
      <w:proofErr w:type="gramStart"/>
      <w:r w:rsidR="00BC7755">
        <w:t>operationalized</w:t>
      </w:r>
      <w:r>
        <w:t>]”</w:t>
      </w:r>
      <w:proofErr w:type="gramEnd"/>
      <w:r>
        <w:t xml:space="preserve">) and 3h on </w:t>
      </w:r>
      <w:r w:rsidR="00BC7755">
        <w:t>data availability</w:t>
      </w:r>
      <w:r>
        <w:t xml:space="preserve">. </w:t>
      </w:r>
      <w:r w:rsidR="00BC7755">
        <w:t>HACA is glad to see that</w:t>
      </w:r>
      <w:r>
        <w:t xml:space="preserve"> these concepts which appeared in earlier drafts</w:t>
      </w:r>
      <w:r w:rsidR="0070362B">
        <w:rPr>
          <w:rStyle w:val="EndnoteReference"/>
        </w:rPr>
        <w:endnoteReference w:id="8"/>
      </w:r>
      <w:r>
        <w:t xml:space="preserve"> are now bracketed </w:t>
      </w:r>
      <w:r w:rsidR="00BC7755">
        <w:t>in the SB Co-Chairs Proposal</w:t>
      </w:r>
      <w:r>
        <w:t>. They should be deleted altogether.</w:t>
      </w:r>
      <w:r w:rsidRPr="006D3F4F">
        <w:t xml:space="preserve"> </w:t>
      </w:r>
      <w:r>
        <w:t xml:space="preserve">Limiting </w:t>
      </w:r>
      <w:r>
        <w:lastRenderedPageBreak/>
        <w:t xml:space="preserve">indicators to </w:t>
      </w:r>
      <w:r w:rsidR="0003321B">
        <w:t xml:space="preserve">those that are data ready nullifies the GGA’s innovation of </w:t>
      </w:r>
      <w:proofErr w:type="gramStart"/>
      <w:r w:rsidR="0003321B">
        <w:t>brining</w:t>
      </w:r>
      <w:proofErr w:type="gramEnd"/>
      <w:r w:rsidR="0003321B">
        <w:t xml:space="preserve"> into climate policy new areas like cultural heritage, which is why </w:t>
      </w:r>
      <w:r w:rsidRPr="006D3F4F">
        <w:t>SB62</w:t>
      </w:r>
      <w:r w:rsidR="0003321B">
        <w:t xml:space="preserve"> agreed that:</w:t>
      </w:r>
    </w:p>
    <w:p w14:paraId="518DAB68" w14:textId="77777777" w:rsidR="0003321B" w:rsidRDefault="0003321B" w:rsidP="00BC7755">
      <w:pPr>
        <w:spacing w:after="0"/>
      </w:pPr>
    </w:p>
    <w:p w14:paraId="1AA4A587" w14:textId="7C582210" w:rsidR="006D3F4F" w:rsidRDefault="0003321B" w:rsidP="0003321B">
      <w:pPr>
        <w:spacing w:after="0"/>
        <w:ind w:left="720"/>
      </w:pPr>
      <w:r w:rsidRPr="0003321B">
        <w:t>limited data availability should not restrict the development of new indicators that are needed to address gaps, recognizing that additional capacity-building for developing countries may be required for reporting on such indicators</w:t>
      </w:r>
      <w:r w:rsidR="006D3F4F" w:rsidRPr="006D3F4F">
        <w:t>.</w:t>
      </w:r>
      <w:r w:rsidR="006D3F4F">
        <w:rPr>
          <w:rStyle w:val="EndnoteReference"/>
        </w:rPr>
        <w:endnoteReference w:id="9"/>
      </w:r>
    </w:p>
    <w:p w14:paraId="7061A1E1" w14:textId="77777777" w:rsidR="006D3F4F" w:rsidRDefault="006D3F4F" w:rsidP="00BC7755">
      <w:pPr>
        <w:spacing w:after="0"/>
      </w:pPr>
    </w:p>
    <w:p w14:paraId="5790C44F" w14:textId="38FCF6FF" w:rsidR="00BC7755" w:rsidRDefault="0003321B" w:rsidP="00BC7755">
      <w:pPr>
        <w:spacing w:after="0"/>
      </w:pPr>
      <w:r w:rsidRPr="0003321B">
        <w:rPr>
          <w:highlight w:val="yellow"/>
        </w:rPr>
        <w:t xml:space="preserve">HACA Recommendation: </w:t>
      </w:r>
      <w:r w:rsidR="00BC7755" w:rsidRPr="0003321B">
        <w:rPr>
          <w:highlight w:val="yellow"/>
        </w:rPr>
        <w:t xml:space="preserve">HACA </w:t>
      </w:r>
      <w:r w:rsidRPr="0003321B">
        <w:rPr>
          <w:highlight w:val="yellow"/>
        </w:rPr>
        <w:t xml:space="preserve">supports Option 3 with deletion of bracketed material in 3g and 3h. HACA </w:t>
      </w:r>
      <w:r w:rsidR="00BC7755" w:rsidRPr="0003321B">
        <w:rPr>
          <w:highlight w:val="yellow"/>
        </w:rPr>
        <w:t>does not support Option 1 or Option 2</w:t>
      </w:r>
      <w:r w:rsidRPr="0003321B">
        <w:rPr>
          <w:highlight w:val="yellow"/>
        </w:rPr>
        <w:t>.</w:t>
      </w:r>
      <w:r w:rsidRPr="0003321B">
        <w:rPr>
          <w:rStyle w:val="EndnoteReference"/>
          <w:highlight w:val="yellow"/>
        </w:rPr>
        <w:endnoteReference w:id="10"/>
      </w:r>
    </w:p>
    <w:p w14:paraId="799D3F0E" w14:textId="77777777" w:rsidR="00BC7755" w:rsidRPr="00BC7755" w:rsidRDefault="00BC7755" w:rsidP="00BC7755">
      <w:pPr>
        <w:spacing w:after="0"/>
      </w:pPr>
    </w:p>
    <w:p w14:paraId="7D08399B" w14:textId="355480BA" w:rsidR="0003321B" w:rsidRDefault="0021246B" w:rsidP="00BC7755">
      <w:pPr>
        <w:spacing w:after="0"/>
      </w:pPr>
      <w:r w:rsidRPr="0070362B">
        <w:rPr>
          <w:b/>
          <w:bCs/>
        </w:rPr>
        <w:t>Para</w:t>
      </w:r>
      <w:r w:rsidR="0070362B" w:rsidRPr="0070362B">
        <w:rPr>
          <w:b/>
          <w:bCs/>
        </w:rPr>
        <w:t>graph</w:t>
      </w:r>
      <w:r w:rsidRPr="0070362B">
        <w:rPr>
          <w:b/>
          <w:bCs/>
        </w:rPr>
        <w:t xml:space="preserve"> 12</w:t>
      </w:r>
      <w:r w:rsidR="004253CC" w:rsidRPr="00BC7755">
        <w:t xml:space="preserve"> </w:t>
      </w:r>
      <w:r w:rsidR="0003321B">
        <w:t>addresse</w:t>
      </w:r>
      <w:r w:rsidR="0070362B">
        <w:t>s</w:t>
      </w:r>
      <w:r w:rsidR="0003321B">
        <w:t xml:space="preserve"> </w:t>
      </w:r>
      <w:r w:rsidR="004253CC" w:rsidRPr="00BC7755">
        <w:t>post-CMA7 (</w:t>
      </w:r>
      <w:r w:rsidR="00022D55" w:rsidRPr="00BC7755">
        <w:t>i.e.</w:t>
      </w:r>
      <w:r w:rsidR="004253CC" w:rsidRPr="00BC7755">
        <w:t xml:space="preserve"> COP30) work on indicators</w:t>
      </w:r>
      <w:r w:rsidR="0003321B">
        <w:t xml:space="preserve">. </w:t>
      </w:r>
      <w:r w:rsidR="00022D55" w:rsidRPr="00BC7755">
        <w:t xml:space="preserve">HACA supports a pathway that mandates essential technical refinement. </w:t>
      </w:r>
      <w:r w:rsidR="004253CC" w:rsidRPr="00BC7755">
        <w:t xml:space="preserve">HACA prefers option 2 (with the “refinement of the indicators” text selected).  Both Option 3 and 4 fail to establish a clear process for correcting flaws in the </w:t>
      </w:r>
      <w:r w:rsidR="00BC7755" w:rsidRPr="00BC7755">
        <w:t>Experts’</w:t>
      </w:r>
      <w:r w:rsidR="004253CC" w:rsidRPr="00BC7755">
        <w:t xml:space="preserve"> recommendations.  The inclusion of either Para 12, Option 3 or 4 in tandem with </w:t>
      </w:r>
      <w:r w:rsidR="0003321B">
        <w:t>P</w:t>
      </w:r>
      <w:r w:rsidR="004253CC" w:rsidRPr="00BC7755">
        <w:t xml:space="preserve">ara 5 </w:t>
      </w:r>
      <w:r w:rsidR="00BC7755" w:rsidRPr="00BC7755">
        <w:t>option</w:t>
      </w:r>
      <w:r w:rsidR="004253CC" w:rsidRPr="00BC7755">
        <w:t xml:space="preserve"> 1 risks locking </w:t>
      </w:r>
      <w:r w:rsidR="0003321B">
        <w:t>problematic indicators which could drive maladaptation.</w:t>
      </w:r>
    </w:p>
    <w:p w14:paraId="6B89B959" w14:textId="77777777" w:rsidR="0003321B" w:rsidRDefault="0003321B" w:rsidP="00BC7755">
      <w:pPr>
        <w:spacing w:after="0"/>
      </w:pPr>
    </w:p>
    <w:p w14:paraId="7BC14B78" w14:textId="0763315E" w:rsidR="0003321B" w:rsidRDefault="00022D55" w:rsidP="00BC7755">
      <w:pPr>
        <w:spacing w:after="0"/>
      </w:pPr>
      <w:r w:rsidRPr="00BC7755">
        <w:t>HACA and its global network of professional experts stand ready to contribute to any "Post CMA 7 work on indicators" particularly in developing robust, measurable, and scalable indicators for Target 9g but also for addressing key cross-cutting issues identi</w:t>
      </w:r>
      <w:r w:rsidR="00BC7755" w:rsidRPr="00BC7755">
        <w:t xml:space="preserve">fied </w:t>
      </w:r>
      <w:r w:rsidRPr="00BC7755">
        <w:t xml:space="preserve">in the GGA.  </w:t>
      </w:r>
    </w:p>
    <w:p w14:paraId="05BB7EAE" w14:textId="77777777" w:rsidR="0003321B" w:rsidRDefault="0003321B" w:rsidP="00BC7755">
      <w:pPr>
        <w:spacing w:after="0"/>
      </w:pPr>
    </w:p>
    <w:p w14:paraId="266D1E2A" w14:textId="726E652E" w:rsidR="0003321B" w:rsidRDefault="0003321B" w:rsidP="00BC7755">
      <w:pPr>
        <w:spacing w:after="0"/>
      </w:pPr>
      <w:r w:rsidRPr="0003321B">
        <w:rPr>
          <w:highlight w:val="yellow"/>
        </w:rPr>
        <w:t>HACA Recommendation: HACA prefers option 2 (with the “refinement of the indicators” text selected).</w:t>
      </w:r>
    </w:p>
    <w:p w14:paraId="5FE8F746" w14:textId="77777777" w:rsidR="0003321B" w:rsidRPr="00BC7755" w:rsidRDefault="0003321B" w:rsidP="00BC7755">
      <w:pPr>
        <w:spacing w:after="0"/>
      </w:pPr>
    </w:p>
    <w:p w14:paraId="3CB6FAAB" w14:textId="448E75E8" w:rsidR="00E15087" w:rsidRDefault="00E15087" w:rsidP="00BC7755">
      <w:pPr>
        <w:spacing w:after="0"/>
      </w:pPr>
      <w:r w:rsidRPr="0070362B">
        <w:rPr>
          <w:b/>
          <w:bCs/>
        </w:rPr>
        <w:t>Para</w:t>
      </w:r>
      <w:r w:rsidR="0070362B" w:rsidRPr="0070362B">
        <w:rPr>
          <w:b/>
          <w:bCs/>
        </w:rPr>
        <w:t>graph</w:t>
      </w:r>
      <w:r w:rsidRPr="0070362B">
        <w:rPr>
          <w:b/>
          <w:bCs/>
        </w:rPr>
        <w:t xml:space="preserve"> 13</w:t>
      </w:r>
      <w:r w:rsidR="00566AE2" w:rsidRPr="00BC7755">
        <w:t xml:space="preserve">, which emphasizes </w:t>
      </w:r>
      <w:proofErr w:type="gramStart"/>
      <w:r w:rsidR="00566AE2" w:rsidRPr="00BC7755">
        <w:t>cross cutting</w:t>
      </w:r>
      <w:proofErr w:type="gramEnd"/>
      <w:r w:rsidR="00566AE2" w:rsidRPr="00BC7755">
        <w:t xml:space="preserve"> issues, has grown </w:t>
      </w:r>
      <w:r w:rsidR="0003321B">
        <w:t xml:space="preserve">in length and </w:t>
      </w:r>
      <w:r w:rsidR="00566AE2" w:rsidRPr="00BC7755">
        <w:t xml:space="preserve">now </w:t>
      </w:r>
      <w:r w:rsidR="0070362B" w:rsidRPr="00BC7755">
        <w:t>lists</w:t>
      </w:r>
      <w:r w:rsidR="00566AE2" w:rsidRPr="00BC7755">
        <w:t xml:space="preserve"> almost all th</w:t>
      </w:r>
      <w:r w:rsidR="0003321B">
        <w:t xml:space="preserve">e cross-cutting issues </w:t>
      </w:r>
      <w:r w:rsidR="00BC7755" w:rsidRPr="00BC7755">
        <w:t>identified i</w:t>
      </w:r>
      <w:r w:rsidR="00566AE2" w:rsidRPr="00BC7755">
        <w:t>n the</w:t>
      </w:r>
      <w:r w:rsidR="0003321B">
        <w:t xml:space="preserve"> </w:t>
      </w:r>
      <w:proofErr w:type="gramStart"/>
      <w:r w:rsidR="0003321B">
        <w:t xml:space="preserve">original </w:t>
      </w:r>
      <w:r w:rsidR="00566AE2" w:rsidRPr="00BC7755">
        <w:t xml:space="preserve"> </w:t>
      </w:r>
      <w:r w:rsidR="0003321B" w:rsidRPr="0003321B">
        <w:t>2</w:t>
      </w:r>
      <w:proofErr w:type="gramEnd"/>
      <w:r w:rsidR="0003321B" w:rsidRPr="0003321B">
        <w:t>/CMA.5</w:t>
      </w:r>
      <w:r w:rsidR="00141667">
        <w:rPr>
          <w:rStyle w:val="EndnoteReference"/>
        </w:rPr>
        <w:endnoteReference w:id="11"/>
      </w:r>
      <w:r w:rsidR="0003321B">
        <w:t xml:space="preserve"> </w:t>
      </w:r>
      <w:r w:rsidR="00566AE2" w:rsidRPr="00BC7755">
        <w:t>GGA decision.</w:t>
      </w:r>
      <w:r w:rsidR="0003321B">
        <w:t xml:space="preserve"> Key missing cross-cutting issues found in 2/</w:t>
      </w:r>
      <w:r w:rsidR="00141667">
        <w:t xml:space="preserve">CMA.5 para 14, 22 and 23 should be added. The following text is proposed: </w:t>
      </w:r>
    </w:p>
    <w:p w14:paraId="11379D1E" w14:textId="5BD0247D" w:rsidR="00141667" w:rsidRDefault="00141667" w:rsidP="00141667">
      <w:pPr>
        <w:pStyle w:val="ListParagraph"/>
        <w:widowControl w:val="0"/>
        <w:numPr>
          <w:ilvl w:val="0"/>
          <w:numId w:val="5"/>
        </w:numPr>
        <w:tabs>
          <w:tab w:val="left" w:pos="1841"/>
        </w:tabs>
        <w:autoSpaceDE w:val="0"/>
        <w:autoSpaceDN w:val="0"/>
        <w:spacing w:before="130" w:after="0" w:line="249" w:lineRule="auto"/>
        <w:ind w:right="570"/>
        <w:contextualSpacing w:val="0"/>
        <w:jc w:val="both"/>
        <w:rPr>
          <w:sz w:val="20"/>
        </w:rPr>
      </w:pPr>
      <w:bookmarkStart w:id="1" w:name="_Hlk214177867"/>
      <w:r>
        <w:rPr>
          <w:sz w:val="20"/>
        </w:rPr>
        <w:t>[Recalls paragraphs 10(c) of decision 3/CMA.4, 13</w:t>
      </w:r>
      <w:r w:rsidRPr="00141667">
        <w:rPr>
          <w:sz w:val="20"/>
          <w:highlight w:val="yellow"/>
        </w:rPr>
        <w:t>, 14, 22 and 23</w:t>
      </w:r>
      <w:r>
        <w:rPr>
          <w:sz w:val="20"/>
        </w:rPr>
        <w:t xml:space="preserve"> of decision 2/CMA.5 and 21 of decision</w:t>
      </w:r>
      <w:r>
        <w:rPr>
          <w:spacing w:val="-6"/>
          <w:sz w:val="20"/>
        </w:rPr>
        <w:t xml:space="preserve"> </w:t>
      </w:r>
      <w:r>
        <w:rPr>
          <w:sz w:val="20"/>
        </w:rPr>
        <w:t>3/CMA.6</w:t>
      </w:r>
      <w:r>
        <w:rPr>
          <w:spacing w:val="-6"/>
          <w:sz w:val="20"/>
        </w:rPr>
        <w:t xml:space="preserve"> </w:t>
      </w:r>
      <w:r>
        <w:rPr>
          <w:sz w:val="20"/>
        </w:rPr>
        <w:t>and</w:t>
      </w:r>
      <w:r>
        <w:rPr>
          <w:spacing w:val="-6"/>
          <w:sz w:val="20"/>
        </w:rPr>
        <w:t xml:space="preserve"> </w:t>
      </w:r>
      <w:r>
        <w:rPr>
          <w:sz w:val="20"/>
        </w:rPr>
        <w:t>emphasizes</w:t>
      </w:r>
      <w:r>
        <w:rPr>
          <w:spacing w:val="-8"/>
          <w:sz w:val="20"/>
        </w:rPr>
        <w:t xml:space="preserve"> </w:t>
      </w:r>
      <w:r>
        <w:rPr>
          <w:sz w:val="20"/>
        </w:rPr>
        <w:t>the</w:t>
      </w:r>
      <w:r>
        <w:rPr>
          <w:spacing w:val="-7"/>
          <w:sz w:val="20"/>
        </w:rPr>
        <w:t xml:space="preserve"> </w:t>
      </w:r>
      <w:r>
        <w:rPr>
          <w:sz w:val="20"/>
        </w:rPr>
        <w:t>importance</w:t>
      </w:r>
      <w:r>
        <w:rPr>
          <w:spacing w:val="-7"/>
          <w:sz w:val="20"/>
        </w:rPr>
        <w:t xml:space="preserve"> </w:t>
      </w:r>
      <w:r>
        <w:rPr>
          <w:sz w:val="20"/>
        </w:rPr>
        <w:t>of</w:t>
      </w:r>
      <w:r>
        <w:rPr>
          <w:spacing w:val="-7"/>
          <w:sz w:val="20"/>
        </w:rPr>
        <w:t xml:space="preserve"> </w:t>
      </w:r>
      <w:r>
        <w:rPr>
          <w:sz w:val="20"/>
        </w:rPr>
        <w:t>cross-cutting</w:t>
      </w:r>
      <w:r>
        <w:rPr>
          <w:spacing w:val="-6"/>
          <w:sz w:val="20"/>
        </w:rPr>
        <w:t xml:space="preserve"> </w:t>
      </w:r>
      <w:r>
        <w:rPr>
          <w:sz w:val="20"/>
        </w:rPr>
        <w:t>considerations,</w:t>
      </w:r>
      <w:r>
        <w:rPr>
          <w:spacing w:val="-7"/>
          <w:sz w:val="20"/>
        </w:rPr>
        <w:t xml:space="preserve"> </w:t>
      </w:r>
      <w:r>
        <w:rPr>
          <w:sz w:val="20"/>
        </w:rPr>
        <w:t>including the unique vulnerabilities of children and youth and Indigenous Peoples, people of African descent and the importance of gender and human rights</w:t>
      </w:r>
      <w:r w:rsidRPr="00141667">
        <w:rPr>
          <w:sz w:val="20"/>
          <w:highlight w:val="yellow"/>
        </w:rPr>
        <w:t xml:space="preserve">, </w:t>
      </w:r>
      <w:r>
        <w:rPr>
          <w:sz w:val="20"/>
          <w:highlight w:val="yellow"/>
        </w:rPr>
        <w:t xml:space="preserve">of </w:t>
      </w:r>
      <w:r w:rsidRPr="00141667">
        <w:rPr>
          <w:sz w:val="20"/>
          <w:highlight w:val="yellow"/>
        </w:rPr>
        <w:t>ethical and equitable engagement with Indigenous Peoples and local communities and application of traditional knowledge, the knowledge, wisdom and values of Indigenous Peoples, and local knowledge systems, and of climate education and empowerment</w:t>
      </w:r>
      <w:r>
        <w:rPr>
          <w:sz w:val="20"/>
        </w:rPr>
        <w:t>];</w:t>
      </w:r>
    </w:p>
    <w:bookmarkEnd w:id="1"/>
    <w:p w14:paraId="25130F7E" w14:textId="77777777" w:rsidR="00141667" w:rsidRDefault="00141667" w:rsidP="00BC7755">
      <w:pPr>
        <w:spacing w:after="0"/>
      </w:pPr>
    </w:p>
    <w:p w14:paraId="57C810F2" w14:textId="22489959" w:rsidR="0003321B" w:rsidRDefault="00141667" w:rsidP="00BC7755">
      <w:pPr>
        <w:spacing w:after="0"/>
      </w:pPr>
      <w:r w:rsidRPr="00141667">
        <w:rPr>
          <w:highlight w:val="yellow"/>
        </w:rPr>
        <w:lastRenderedPageBreak/>
        <w:t xml:space="preserve">HACA Recommendation: Add references to cross-cutting issues set out in 2/CMA.5, para 14, 22 and </w:t>
      </w:r>
      <w:r w:rsidR="0070362B" w:rsidRPr="00141667">
        <w:rPr>
          <w:highlight w:val="yellow"/>
        </w:rPr>
        <w:t>23.</w:t>
      </w:r>
    </w:p>
    <w:p w14:paraId="5A4D0794" w14:textId="77777777" w:rsidR="0003321B" w:rsidRPr="00BC7755" w:rsidRDefault="0003321B" w:rsidP="00BC7755">
      <w:pPr>
        <w:spacing w:after="0"/>
      </w:pPr>
    </w:p>
    <w:p w14:paraId="51B1607F" w14:textId="6675396F" w:rsidR="006104CF" w:rsidRPr="0070362B" w:rsidRDefault="00566AE2" w:rsidP="00BC7755">
      <w:pPr>
        <w:spacing w:after="0"/>
        <w:rPr>
          <w:b/>
          <w:bCs/>
        </w:rPr>
      </w:pPr>
      <w:r w:rsidRPr="0070362B">
        <w:rPr>
          <w:b/>
          <w:bCs/>
        </w:rPr>
        <w:t xml:space="preserve">HACA supports paras 20-24.  </w:t>
      </w:r>
    </w:p>
    <w:p w14:paraId="305F4B4A" w14:textId="562FB7C2" w:rsidR="006104CF" w:rsidRPr="00BC7755" w:rsidRDefault="00566AE2" w:rsidP="00BC7755">
      <w:pPr>
        <w:pStyle w:val="ListParagraph"/>
        <w:numPr>
          <w:ilvl w:val="0"/>
          <w:numId w:val="3"/>
        </w:numPr>
        <w:spacing w:after="0"/>
      </w:pPr>
      <w:r w:rsidRPr="00BC7755">
        <w:t xml:space="preserve">Para 20: </w:t>
      </w:r>
      <w:r w:rsidR="006104CF" w:rsidRPr="00BC7755">
        <w:t xml:space="preserve">qualitative and/or quantitative information on the indicators </w:t>
      </w:r>
      <w:r w:rsidRPr="00BC7755">
        <w:t xml:space="preserve">should be reported, for example via nations’ </w:t>
      </w:r>
      <w:r w:rsidR="006104CF" w:rsidRPr="00BC7755">
        <w:t>biennial transparency reports</w:t>
      </w:r>
      <w:r w:rsidR="0070362B">
        <w:t>.</w:t>
      </w:r>
    </w:p>
    <w:p w14:paraId="0DD24CBE" w14:textId="227FCDFF" w:rsidR="00022D55" w:rsidRPr="00BC7755" w:rsidRDefault="00566AE2" w:rsidP="00BC7755">
      <w:pPr>
        <w:pStyle w:val="ListParagraph"/>
        <w:numPr>
          <w:ilvl w:val="0"/>
          <w:numId w:val="3"/>
        </w:numPr>
        <w:spacing w:after="0"/>
      </w:pPr>
      <w:r w:rsidRPr="00BC7755">
        <w:t>Para 21: A</w:t>
      </w:r>
      <w:r w:rsidR="006104CF" w:rsidRPr="00BC7755">
        <w:t>daptation communications, NAPs, NDCs, National Communications and other tools</w:t>
      </w:r>
      <w:r w:rsidR="00022D55" w:rsidRPr="00BC7755">
        <w:t xml:space="preserve"> should be aligned with the seven thematic targets of UAE Framework for Global Climate Resilience</w:t>
      </w:r>
      <w:r w:rsidR="0070362B">
        <w:t>.</w:t>
      </w:r>
    </w:p>
    <w:p w14:paraId="57D6C401" w14:textId="6EB8244F" w:rsidR="00022D55" w:rsidRPr="00BC7755" w:rsidRDefault="00022D55" w:rsidP="00BC7755">
      <w:pPr>
        <w:pStyle w:val="ListParagraph"/>
        <w:numPr>
          <w:ilvl w:val="0"/>
          <w:numId w:val="3"/>
        </w:numPr>
        <w:spacing w:after="0"/>
      </w:pPr>
      <w:r w:rsidRPr="00BC7755">
        <w:t xml:space="preserve">Para 22: </w:t>
      </w:r>
      <w:r w:rsidR="00BC7755" w:rsidRPr="00BC7755">
        <w:t>Additional</w:t>
      </w:r>
      <w:r w:rsidRPr="00BC7755">
        <w:t xml:space="preserve"> finance, technology transfer and capacity-building support, is needed to boost the capacity of Members to </w:t>
      </w:r>
      <w:r w:rsidR="00BC7755" w:rsidRPr="00BC7755">
        <w:t>implement</w:t>
      </w:r>
      <w:r w:rsidRPr="00BC7755">
        <w:t xml:space="preserve"> and </w:t>
      </w:r>
      <w:r w:rsidR="00BC7755" w:rsidRPr="00BC7755">
        <w:t>report</w:t>
      </w:r>
      <w:r w:rsidRPr="00BC7755">
        <w:t xml:space="preserve"> on the indicators</w:t>
      </w:r>
      <w:r w:rsidR="0070362B">
        <w:t>.</w:t>
      </w:r>
    </w:p>
    <w:p w14:paraId="652A2FEE" w14:textId="60FE982E" w:rsidR="00022D55" w:rsidRPr="00BC7755" w:rsidRDefault="00022D55" w:rsidP="00BC7755">
      <w:pPr>
        <w:pStyle w:val="ListParagraph"/>
        <w:numPr>
          <w:ilvl w:val="0"/>
          <w:numId w:val="3"/>
        </w:numPr>
        <w:spacing w:after="0"/>
      </w:pPr>
      <w:r w:rsidRPr="00BC7755">
        <w:t xml:space="preserve">Para 23: the GEF should further </w:t>
      </w:r>
      <w:r w:rsidR="00BC7755" w:rsidRPr="00BC7755">
        <w:t>consider</w:t>
      </w:r>
      <w:r w:rsidRPr="00BC7755">
        <w:t xml:space="preserve"> its work in relation to implementing and reporting on the UAE framework for global climate resilience</w:t>
      </w:r>
      <w:r w:rsidR="0070362B">
        <w:t>. Here especially important is para 18 of COP29’s NCQG decision which r</w:t>
      </w:r>
      <w:r w:rsidR="0070362B" w:rsidRPr="0070362B">
        <w:t xml:space="preserve">ecognizes the need to dramatically scale up adaptation finance, </w:t>
      </w:r>
      <w:r w:rsidR="0070362B">
        <w:t>“</w:t>
      </w:r>
      <w:r w:rsidR="0070362B" w:rsidRPr="0070362B">
        <w:t>including taking into account the global goal on adaptation and the targets referred to in paragraphs 9</w:t>
      </w:r>
      <w:r w:rsidR="0070362B">
        <w:t>-</w:t>
      </w:r>
      <w:r w:rsidR="0070362B" w:rsidRPr="0070362B">
        <w:t>10 of decision 2/CMA.5</w:t>
      </w:r>
      <w:r w:rsidR="0070362B">
        <w:t>”</w:t>
      </w:r>
      <w:r w:rsidR="0070362B">
        <w:rPr>
          <w:rStyle w:val="EndnoteReference"/>
        </w:rPr>
        <w:endnoteReference w:id="12"/>
      </w:r>
      <w:r w:rsidR="0070362B" w:rsidRPr="0070362B">
        <w:t>;</w:t>
      </w:r>
    </w:p>
    <w:p w14:paraId="52D82A8D" w14:textId="251EB811" w:rsidR="006104CF" w:rsidRPr="00BC7755" w:rsidRDefault="00022D55" w:rsidP="00BC7755">
      <w:pPr>
        <w:pStyle w:val="ListParagraph"/>
        <w:numPr>
          <w:ilvl w:val="0"/>
          <w:numId w:val="3"/>
        </w:numPr>
        <w:spacing w:after="0"/>
      </w:pPr>
      <w:r w:rsidRPr="00BC7755">
        <w:t xml:space="preserve">Para 24: Reporting under the GG should be an </w:t>
      </w:r>
      <w:r w:rsidR="00BC7755" w:rsidRPr="00BC7755">
        <w:t>input</w:t>
      </w:r>
      <w:r w:rsidRPr="00BC7755">
        <w:t xml:space="preserve"> into the technical phase of the global stock </w:t>
      </w:r>
      <w:r w:rsidR="00BC7755" w:rsidRPr="00BC7755">
        <w:t>take;</w:t>
      </w:r>
    </w:p>
    <w:sectPr w:rsidR="006104CF" w:rsidRPr="00BC77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401A8" w14:textId="77777777" w:rsidR="0083218A" w:rsidRDefault="0083218A" w:rsidP="00330804">
      <w:pPr>
        <w:spacing w:after="0" w:line="240" w:lineRule="auto"/>
      </w:pPr>
      <w:r>
        <w:separator/>
      </w:r>
    </w:p>
  </w:endnote>
  <w:endnote w:type="continuationSeparator" w:id="0">
    <w:p w14:paraId="050919E1" w14:textId="77777777" w:rsidR="0083218A" w:rsidRDefault="0083218A" w:rsidP="00330804">
      <w:pPr>
        <w:spacing w:after="0" w:line="240" w:lineRule="auto"/>
      </w:pPr>
      <w:r>
        <w:continuationSeparator/>
      </w:r>
    </w:p>
  </w:endnote>
  <w:endnote w:id="1">
    <w:p w14:paraId="132D193A" w14:textId="7129EF51" w:rsidR="00694380" w:rsidRDefault="00694380">
      <w:pPr>
        <w:pStyle w:val="EndnoteText"/>
      </w:pPr>
      <w:r>
        <w:rPr>
          <w:rStyle w:val="EndnoteReference"/>
        </w:rPr>
        <w:endnoteRef/>
      </w:r>
      <w:r>
        <w:t xml:space="preserve"> </w:t>
      </w:r>
      <w:r w:rsidRPr="00694380">
        <w:t>https://cop30.br/en/brazilian-presidency/letters-from-the-presidency/eighth-letter-from-the-presidency</w:t>
      </w:r>
    </w:p>
  </w:endnote>
  <w:endnote w:id="2">
    <w:p w14:paraId="15B5C118" w14:textId="7E184621" w:rsidR="00F427D9" w:rsidRDefault="00F427D9">
      <w:pPr>
        <w:pStyle w:val="EndnoteText"/>
      </w:pPr>
      <w:r>
        <w:rPr>
          <w:rStyle w:val="EndnoteReference"/>
        </w:rPr>
        <w:endnoteRef/>
      </w:r>
      <w:r>
        <w:t xml:space="preserve"> </w:t>
      </w:r>
      <w:hyperlink r:id="rId1" w:history="1">
        <w:r w:rsidR="003D2816" w:rsidRPr="001D645B">
          <w:rPr>
            <w:rStyle w:val="Hyperlink"/>
          </w:rPr>
          <w:t>https://unfccc.int/documents/654140</w:t>
        </w:r>
      </w:hyperlink>
      <w:r w:rsidR="003D2816">
        <w:t>.</w:t>
      </w:r>
    </w:p>
  </w:endnote>
  <w:endnote w:id="3">
    <w:p w14:paraId="29904B3C" w14:textId="40E8ECE4" w:rsidR="003D2816" w:rsidRDefault="003D2816" w:rsidP="003D2816">
      <w:pPr>
        <w:pStyle w:val="EndnoteText"/>
      </w:pPr>
      <w:r>
        <w:rPr>
          <w:rStyle w:val="EndnoteReference"/>
        </w:rPr>
        <w:endnoteRef/>
      </w:r>
      <w:r>
        <w:t xml:space="preserve"> “Short Guide to Culture and Heritage in the Global Goal on Adaptation Framework,” </w:t>
      </w:r>
      <w:hyperlink r:id="rId2" w:history="1">
        <w:r w:rsidRPr="001D645B">
          <w:rPr>
            <w:rStyle w:val="Hyperlink"/>
          </w:rPr>
          <w:t>https://docs.google.com/document/d/1VqZagBlT8Animz-qNa4FW5FIMeulkWm6/edit?usp=drive_link&amp;ouid=117166681810772555982&amp;rtpof=true&amp;sd=true</w:t>
        </w:r>
      </w:hyperlink>
      <w:r>
        <w:t xml:space="preserve">. </w:t>
      </w:r>
    </w:p>
  </w:endnote>
  <w:endnote w:id="4">
    <w:p w14:paraId="5193797C" w14:textId="68BB6D29" w:rsidR="003D2816" w:rsidRDefault="003D2816">
      <w:pPr>
        <w:pStyle w:val="EndnoteText"/>
      </w:pPr>
      <w:r>
        <w:rPr>
          <w:rStyle w:val="EndnoteReference"/>
        </w:rPr>
        <w:endnoteRef/>
      </w:r>
      <w:r>
        <w:t xml:space="preserve"> </w:t>
      </w:r>
      <w:r w:rsidRPr="003D2816">
        <w:t xml:space="preserve">Available at </w:t>
      </w:r>
      <w:hyperlink r:id="rId3" w:history="1">
        <w:r w:rsidRPr="001D645B">
          <w:rPr>
            <w:rStyle w:val="Hyperlink"/>
          </w:rPr>
          <w:t>https://unfccc.int/documents/649629</w:t>
        </w:r>
      </w:hyperlink>
      <w:r>
        <w:t>.</w:t>
      </w:r>
    </w:p>
  </w:endnote>
  <w:endnote w:id="5">
    <w:p w14:paraId="02FDAB66" w14:textId="4DA68546" w:rsidR="003D2816" w:rsidRDefault="003D2816">
      <w:pPr>
        <w:pStyle w:val="EndnoteText"/>
      </w:pPr>
      <w:r>
        <w:rPr>
          <w:rStyle w:val="EndnoteReference"/>
        </w:rPr>
        <w:endnoteRef/>
      </w:r>
      <w:r>
        <w:t xml:space="preserve"> </w:t>
      </w:r>
      <w:bookmarkStart w:id="0" w:name="_Hlk214253358"/>
      <w:r>
        <w:t xml:space="preserve">This statement builds on the HACA’s </w:t>
      </w:r>
      <w:hyperlink r:id="rId4" w:history="1">
        <w:r w:rsidRPr="00763B24">
          <w:rPr>
            <w:rStyle w:val="Hyperlink"/>
          </w:rPr>
          <w:t>Final Policy Brief on GGA Indicators</w:t>
        </w:r>
      </w:hyperlink>
      <w:r w:rsidRPr="00763B24">
        <w:t xml:space="preserve"> date 30 October (revised 10 November)</w:t>
      </w:r>
      <w:r>
        <w:t>;</w:t>
      </w:r>
      <w:r w:rsidRPr="00763B24">
        <w:t xml:space="preserve"> </w:t>
      </w:r>
      <w:r>
        <w:t xml:space="preserve"> “</w:t>
      </w:r>
      <w:hyperlink r:id="rId5">
        <w:r>
          <w:rPr>
            <w:color w:val="467886"/>
            <w:u w:val="single"/>
          </w:rPr>
          <w:t>Position Paper on Work to Develop Indicators to Measure Progress Under Thematic 9g and other Culture-Related Provisions of the Global Goal on Adaptation</w:t>
        </w:r>
      </w:hyperlink>
      <w:r>
        <w:t>”</w:t>
      </w:r>
      <w:r>
        <w:rPr>
          <w:vertAlign w:val="superscript"/>
        </w:rPr>
        <w:endnoteRef/>
      </w:r>
      <w:r>
        <w:t xml:space="preserve"> dated 26 June 2025 </w:t>
      </w:r>
      <w:bookmarkEnd w:id="0"/>
      <w:r>
        <w:t xml:space="preserve">prepared by HACA and signed by over 120 culture and heritage experts, advocates and practitioners, as well as the submissions made by HACA as part of the various consultations held under the UAE - Belem Work Programme as follows: </w:t>
      </w:r>
      <w:hyperlink r:id="rId6">
        <w:r>
          <w:rPr>
            <w:color w:val="000000"/>
            <w:u w:val="single"/>
          </w:rPr>
          <w:t>HACA March 30 2024 Submission</w:t>
        </w:r>
      </w:hyperlink>
      <w:r>
        <w:rPr>
          <w:color w:val="000000"/>
        </w:rPr>
        <w:t xml:space="preserve"> to the 1</w:t>
      </w:r>
      <w:r>
        <w:rPr>
          <w:color w:val="000000"/>
          <w:vertAlign w:val="superscript"/>
        </w:rPr>
        <w:t>st</w:t>
      </w:r>
      <w:r>
        <w:rPr>
          <w:color w:val="000000"/>
        </w:rPr>
        <w:t xml:space="preserve"> Consultation under the UAE - Belem Work Programme; </w:t>
      </w:r>
      <w:hyperlink r:id="rId7">
        <w:r>
          <w:rPr>
            <w:color w:val="000000"/>
            <w:u w:val="single"/>
          </w:rPr>
          <w:t>HACA July 30 2024 Submission</w:t>
        </w:r>
      </w:hyperlink>
      <w:r>
        <w:rPr>
          <w:color w:val="000000"/>
        </w:rPr>
        <w:t xml:space="preserve"> to 2</w:t>
      </w:r>
      <w:r>
        <w:rPr>
          <w:color w:val="000000"/>
          <w:vertAlign w:val="superscript"/>
        </w:rPr>
        <w:t>nd</w:t>
      </w:r>
      <w:r>
        <w:rPr>
          <w:color w:val="000000"/>
        </w:rPr>
        <w:t xml:space="preserve"> Consultation Under UAE Belem Work Programme; </w:t>
      </w:r>
      <w:hyperlink r:id="rId8">
        <w:r>
          <w:rPr>
            <w:color w:val="000000"/>
            <w:u w:val="single"/>
          </w:rPr>
          <w:t>Target 9(g) Menu Indicator Approach</w:t>
        </w:r>
      </w:hyperlink>
      <w:r>
        <w:rPr>
          <w:color w:val="000000"/>
        </w:rPr>
        <w:t xml:space="preserve"> - HACA Recommendations (Excerpted from July 2024 submission); </w:t>
      </w:r>
      <w:hyperlink r:id="rId9">
        <w:r>
          <w:rPr>
            <w:color w:val="000000"/>
            <w:u w:val="single"/>
          </w:rPr>
          <w:t>HACA Recommendations</w:t>
        </w:r>
      </w:hyperlink>
      <w:r>
        <w:rPr>
          <w:color w:val="000000"/>
        </w:rPr>
        <w:t xml:space="preserve"> on Culture and Heritage-Related Indicators for Climate Change Adaptation (2025).</w:t>
      </w:r>
    </w:p>
  </w:endnote>
  <w:endnote w:id="6">
    <w:p w14:paraId="538465FD" w14:textId="7196FEF0" w:rsidR="00F427D9" w:rsidRDefault="00F427D9">
      <w:pPr>
        <w:pStyle w:val="EndnoteText"/>
      </w:pPr>
      <w:r>
        <w:rPr>
          <w:rStyle w:val="EndnoteReference"/>
        </w:rPr>
        <w:endnoteRef/>
      </w:r>
      <w:r>
        <w:t xml:space="preserve"> </w:t>
      </w:r>
      <w:hyperlink r:id="rId10" w:history="1">
        <w:r w:rsidRPr="001D645B">
          <w:rPr>
            <w:rStyle w:val="Hyperlink"/>
          </w:rPr>
          <w:t>https://midianinja.org/en/opiniao/as-the-planet-warms-we-must-ensure-culture-is-included-in-cop30s-adaptation-decisions/</w:t>
        </w:r>
      </w:hyperlink>
      <w:r>
        <w:t xml:space="preserve">. </w:t>
      </w:r>
    </w:p>
  </w:endnote>
  <w:endnote w:id="7">
    <w:p w14:paraId="4EF5C7F7" w14:textId="6280AD05" w:rsidR="008E3FD9" w:rsidRDefault="008E3FD9">
      <w:pPr>
        <w:pStyle w:val="EndnoteText"/>
      </w:pPr>
      <w:r>
        <w:rPr>
          <w:rStyle w:val="EndnoteReference"/>
        </w:rPr>
        <w:endnoteRef/>
      </w:r>
      <w:r>
        <w:t xml:space="preserve"> See HACA’s </w:t>
      </w:r>
      <w:hyperlink r:id="rId11" w:history="1">
        <w:r w:rsidRPr="00763B24">
          <w:rPr>
            <w:rStyle w:val="Hyperlink"/>
          </w:rPr>
          <w:t>Final Policy Brief on GGA Indicators</w:t>
        </w:r>
      </w:hyperlink>
      <w:r w:rsidRPr="00763B24">
        <w:t xml:space="preserve"> date 30 October (revised 10 November)</w:t>
      </w:r>
      <w:r>
        <w:t xml:space="preserve"> and “</w:t>
      </w:r>
      <w:hyperlink r:id="rId12">
        <w:r>
          <w:rPr>
            <w:color w:val="467886"/>
            <w:u w:val="single"/>
          </w:rPr>
          <w:t>Position Paper on Work to Develop Indicators to Measure Progress Under Thematic 9g and other Culture-Related Provisions of the Global Goal on Adaptation</w:t>
        </w:r>
      </w:hyperlink>
      <w:r>
        <w:t>”</w:t>
      </w:r>
      <w:r>
        <w:rPr>
          <w:vertAlign w:val="superscript"/>
        </w:rPr>
        <w:endnoteRef/>
      </w:r>
      <w:r>
        <w:t xml:space="preserve"> dated 26 June 2025. </w:t>
      </w:r>
    </w:p>
  </w:endnote>
  <w:endnote w:id="8">
    <w:p w14:paraId="0CAFFE9D" w14:textId="77ED2CA7" w:rsidR="0070362B" w:rsidRDefault="0070362B">
      <w:pPr>
        <w:pStyle w:val="EndnoteText"/>
      </w:pPr>
      <w:r>
        <w:rPr>
          <w:rStyle w:val="EndnoteReference"/>
        </w:rPr>
        <w:endnoteRef/>
      </w:r>
      <w:r>
        <w:t xml:space="preserve"> </w:t>
      </w:r>
      <w:hyperlink r:id="rId13" w:history="1">
        <w:r w:rsidRPr="006E18FE">
          <w:rPr>
            <w:rStyle w:val="Hyperlink"/>
          </w:rPr>
          <w:t>https://unfccc.int/documents/651965</w:t>
        </w:r>
      </w:hyperlink>
      <w:r>
        <w:t xml:space="preserve">. </w:t>
      </w:r>
    </w:p>
  </w:endnote>
  <w:endnote w:id="9">
    <w:p w14:paraId="6C6C18DE" w14:textId="75ED1EB4" w:rsidR="006D3F4F" w:rsidRDefault="006D3F4F">
      <w:pPr>
        <w:pStyle w:val="EndnoteText"/>
      </w:pPr>
      <w:r>
        <w:rPr>
          <w:rStyle w:val="EndnoteReference"/>
        </w:rPr>
        <w:endnoteRef/>
      </w:r>
      <w:r>
        <w:t xml:space="preserve"> </w:t>
      </w:r>
      <w:r w:rsidRPr="006D3F4F">
        <w:t>FCCC/SB/2025/L.4</w:t>
      </w:r>
      <w:r>
        <w:t xml:space="preserve">, para </w:t>
      </w:r>
      <w:r>
        <w:t xml:space="preserve">16. </w:t>
      </w:r>
    </w:p>
  </w:endnote>
  <w:endnote w:id="10">
    <w:p w14:paraId="5B9C5F6A" w14:textId="12868BB0" w:rsidR="0003321B" w:rsidRDefault="0003321B">
      <w:pPr>
        <w:pStyle w:val="EndnoteText"/>
      </w:pPr>
      <w:r>
        <w:rPr>
          <w:rStyle w:val="EndnoteReference"/>
        </w:rPr>
        <w:endnoteRef/>
      </w:r>
      <w:r w:rsidRPr="0003321B">
        <w:t xml:space="preserve">We note that the statement in Option 2 that the recommended indicators were prepared “by leading adaptation specialists that was balanced in terms of geographical representation ….” </w:t>
      </w:r>
      <w:r>
        <w:t>i</w:t>
      </w:r>
      <w:r w:rsidRPr="0003321B">
        <w:t xml:space="preserve">s not </w:t>
      </w:r>
      <w:r>
        <w:t xml:space="preserve">factually </w:t>
      </w:r>
      <w:r w:rsidRPr="0003321B">
        <w:t xml:space="preserve">correct. The </w:t>
      </w:r>
      <w:r w:rsidRPr="0003321B">
        <w:t>8 experts selected for the cultural heritage thematic excluded experts from Noth America, Central America, South America, the Caribbean, Europe and Asia.</w:t>
      </w:r>
    </w:p>
  </w:endnote>
  <w:endnote w:id="11">
    <w:p w14:paraId="3BB220CB" w14:textId="3E49B22C" w:rsidR="00141667" w:rsidRDefault="00141667">
      <w:pPr>
        <w:pStyle w:val="EndnoteText"/>
      </w:pPr>
      <w:r>
        <w:rPr>
          <w:rStyle w:val="EndnoteReference"/>
        </w:rPr>
        <w:endnoteRef/>
      </w:r>
      <w:r>
        <w:t xml:space="preserve"> </w:t>
      </w:r>
      <w:r w:rsidRPr="00141667">
        <w:t>https://unfccc.int/documents/637073</w:t>
      </w:r>
    </w:p>
  </w:endnote>
  <w:endnote w:id="12">
    <w:p w14:paraId="222111D3" w14:textId="748F1511" w:rsidR="0070362B" w:rsidRDefault="0070362B">
      <w:pPr>
        <w:pStyle w:val="EndnoteText"/>
      </w:pPr>
      <w:r>
        <w:rPr>
          <w:rStyle w:val="EndnoteReference"/>
        </w:rPr>
        <w:endnoteRef/>
      </w:r>
      <w:r>
        <w:t xml:space="preserve"> </w:t>
      </w:r>
      <w:hyperlink r:id="rId14" w:history="1">
        <w:r w:rsidRPr="006E18FE">
          <w:rPr>
            <w:rStyle w:val="Hyperlink"/>
          </w:rPr>
          <w:t>https://unfccc.int/sites/default/files/resource/NCQG_4.pdf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FDE1D" w14:textId="77777777" w:rsidR="0083218A" w:rsidRDefault="0083218A" w:rsidP="00330804">
      <w:pPr>
        <w:spacing w:after="0" w:line="240" w:lineRule="auto"/>
      </w:pPr>
      <w:r>
        <w:separator/>
      </w:r>
    </w:p>
  </w:footnote>
  <w:footnote w:type="continuationSeparator" w:id="0">
    <w:p w14:paraId="16C13A93" w14:textId="77777777" w:rsidR="0083218A" w:rsidRDefault="0083218A" w:rsidP="00330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80314"/>
    <w:multiLevelType w:val="hybridMultilevel"/>
    <w:tmpl w:val="030E9014"/>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76A23"/>
    <w:multiLevelType w:val="hybridMultilevel"/>
    <w:tmpl w:val="19AE6D34"/>
    <w:lvl w:ilvl="0" w:tplc="F7DC5C6A">
      <w:start w:val="1"/>
      <w:numFmt w:val="decimal"/>
      <w:lvlText w:val="%1."/>
      <w:lvlJc w:val="left"/>
      <w:pPr>
        <w:ind w:left="1274" w:hanging="569"/>
      </w:pPr>
      <w:rPr>
        <w:rFonts w:ascii="Times New Roman" w:eastAsia="Times New Roman" w:hAnsi="Times New Roman" w:cs="Times New Roman" w:hint="default"/>
        <w:b w:val="0"/>
        <w:bCs w:val="0"/>
        <w:i w:val="0"/>
        <w:iCs w:val="0"/>
        <w:spacing w:val="0"/>
        <w:w w:val="99"/>
        <w:sz w:val="20"/>
        <w:szCs w:val="20"/>
        <w:lang w:val="en-US" w:eastAsia="en-US" w:bidi="ar-SA"/>
      </w:rPr>
    </w:lvl>
    <w:lvl w:ilvl="1" w:tplc="AF70EDC0">
      <w:numFmt w:val="bullet"/>
      <w:lvlText w:val="•"/>
      <w:lvlJc w:val="left"/>
      <w:pPr>
        <w:ind w:left="2073" w:hanging="569"/>
      </w:pPr>
      <w:rPr>
        <w:rFonts w:hint="default"/>
        <w:lang w:val="en-US" w:eastAsia="en-US" w:bidi="ar-SA"/>
      </w:rPr>
    </w:lvl>
    <w:lvl w:ilvl="2" w:tplc="927E5928">
      <w:numFmt w:val="bullet"/>
      <w:lvlText w:val="•"/>
      <w:lvlJc w:val="left"/>
      <w:pPr>
        <w:ind w:left="2866" w:hanging="569"/>
      </w:pPr>
      <w:rPr>
        <w:rFonts w:hint="default"/>
        <w:lang w:val="en-US" w:eastAsia="en-US" w:bidi="ar-SA"/>
      </w:rPr>
    </w:lvl>
    <w:lvl w:ilvl="3" w:tplc="BC7A4356">
      <w:numFmt w:val="bullet"/>
      <w:lvlText w:val="•"/>
      <w:lvlJc w:val="left"/>
      <w:pPr>
        <w:ind w:left="3660" w:hanging="569"/>
      </w:pPr>
      <w:rPr>
        <w:rFonts w:hint="default"/>
        <w:lang w:val="en-US" w:eastAsia="en-US" w:bidi="ar-SA"/>
      </w:rPr>
    </w:lvl>
    <w:lvl w:ilvl="4" w:tplc="BC4EB2E4">
      <w:numFmt w:val="bullet"/>
      <w:lvlText w:val="•"/>
      <w:lvlJc w:val="left"/>
      <w:pPr>
        <w:ind w:left="4453" w:hanging="569"/>
      </w:pPr>
      <w:rPr>
        <w:rFonts w:hint="default"/>
        <w:lang w:val="en-US" w:eastAsia="en-US" w:bidi="ar-SA"/>
      </w:rPr>
    </w:lvl>
    <w:lvl w:ilvl="5" w:tplc="7DACAFBC">
      <w:numFmt w:val="bullet"/>
      <w:lvlText w:val="•"/>
      <w:lvlJc w:val="left"/>
      <w:pPr>
        <w:ind w:left="5247" w:hanging="569"/>
      </w:pPr>
      <w:rPr>
        <w:rFonts w:hint="default"/>
        <w:lang w:val="en-US" w:eastAsia="en-US" w:bidi="ar-SA"/>
      </w:rPr>
    </w:lvl>
    <w:lvl w:ilvl="6" w:tplc="722EC8A4">
      <w:numFmt w:val="bullet"/>
      <w:lvlText w:val="•"/>
      <w:lvlJc w:val="left"/>
      <w:pPr>
        <w:ind w:left="6040" w:hanging="569"/>
      </w:pPr>
      <w:rPr>
        <w:rFonts w:hint="default"/>
        <w:lang w:val="en-US" w:eastAsia="en-US" w:bidi="ar-SA"/>
      </w:rPr>
    </w:lvl>
    <w:lvl w:ilvl="7" w:tplc="ED8EE23C">
      <w:numFmt w:val="bullet"/>
      <w:lvlText w:val="•"/>
      <w:lvlJc w:val="left"/>
      <w:pPr>
        <w:ind w:left="6834" w:hanging="569"/>
      </w:pPr>
      <w:rPr>
        <w:rFonts w:hint="default"/>
        <w:lang w:val="en-US" w:eastAsia="en-US" w:bidi="ar-SA"/>
      </w:rPr>
    </w:lvl>
    <w:lvl w:ilvl="8" w:tplc="B9CE8826">
      <w:numFmt w:val="bullet"/>
      <w:lvlText w:val="•"/>
      <w:lvlJc w:val="left"/>
      <w:pPr>
        <w:ind w:left="7627" w:hanging="569"/>
      </w:pPr>
      <w:rPr>
        <w:rFonts w:hint="default"/>
        <w:lang w:val="en-US" w:eastAsia="en-US" w:bidi="ar-SA"/>
      </w:rPr>
    </w:lvl>
  </w:abstractNum>
  <w:abstractNum w:abstractNumId="2" w15:restartNumberingAfterBreak="0">
    <w:nsid w:val="5D3A35DD"/>
    <w:multiLevelType w:val="hybridMultilevel"/>
    <w:tmpl w:val="58FE865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FF3CBE"/>
    <w:multiLevelType w:val="hybridMultilevel"/>
    <w:tmpl w:val="078A795A"/>
    <w:lvl w:ilvl="0" w:tplc="CD62D01C">
      <w:start w:val="1"/>
      <w:numFmt w:val="lowerLetter"/>
      <w:lvlText w:val="(%1)"/>
      <w:lvlJc w:val="left"/>
      <w:pPr>
        <w:ind w:left="1274" w:hanging="567"/>
      </w:pPr>
      <w:rPr>
        <w:rFonts w:ascii="Times New Roman" w:eastAsia="Times New Roman" w:hAnsi="Times New Roman" w:cs="Times New Roman" w:hint="default"/>
        <w:b w:val="0"/>
        <w:bCs w:val="0"/>
        <w:i w:val="0"/>
        <w:iCs w:val="0"/>
        <w:spacing w:val="0"/>
        <w:w w:val="99"/>
        <w:sz w:val="20"/>
        <w:szCs w:val="20"/>
        <w:lang w:val="en-US" w:eastAsia="en-US" w:bidi="ar-SA"/>
      </w:rPr>
    </w:lvl>
    <w:lvl w:ilvl="1" w:tplc="5BDEAC38">
      <w:numFmt w:val="bullet"/>
      <w:lvlText w:val="•"/>
      <w:lvlJc w:val="left"/>
      <w:pPr>
        <w:ind w:left="2073" w:hanging="567"/>
      </w:pPr>
      <w:rPr>
        <w:rFonts w:hint="default"/>
        <w:lang w:val="en-US" w:eastAsia="en-US" w:bidi="ar-SA"/>
      </w:rPr>
    </w:lvl>
    <w:lvl w:ilvl="2" w:tplc="911EB936">
      <w:numFmt w:val="bullet"/>
      <w:lvlText w:val="•"/>
      <w:lvlJc w:val="left"/>
      <w:pPr>
        <w:ind w:left="2866" w:hanging="567"/>
      </w:pPr>
      <w:rPr>
        <w:rFonts w:hint="default"/>
        <w:lang w:val="en-US" w:eastAsia="en-US" w:bidi="ar-SA"/>
      </w:rPr>
    </w:lvl>
    <w:lvl w:ilvl="3" w:tplc="FB581A72">
      <w:numFmt w:val="bullet"/>
      <w:lvlText w:val="•"/>
      <w:lvlJc w:val="left"/>
      <w:pPr>
        <w:ind w:left="3660" w:hanging="567"/>
      </w:pPr>
      <w:rPr>
        <w:rFonts w:hint="default"/>
        <w:lang w:val="en-US" w:eastAsia="en-US" w:bidi="ar-SA"/>
      </w:rPr>
    </w:lvl>
    <w:lvl w:ilvl="4" w:tplc="E3781752">
      <w:numFmt w:val="bullet"/>
      <w:lvlText w:val="•"/>
      <w:lvlJc w:val="left"/>
      <w:pPr>
        <w:ind w:left="4453" w:hanging="567"/>
      </w:pPr>
      <w:rPr>
        <w:rFonts w:hint="default"/>
        <w:lang w:val="en-US" w:eastAsia="en-US" w:bidi="ar-SA"/>
      </w:rPr>
    </w:lvl>
    <w:lvl w:ilvl="5" w:tplc="ED383858">
      <w:numFmt w:val="bullet"/>
      <w:lvlText w:val="•"/>
      <w:lvlJc w:val="left"/>
      <w:pPr>
        <w:ind w:left="5247" w:hanging="567"/>
      </w:pPr>
      <w:rPr>
        <w:rFonts w:hint="default"/>
        <w:lang w:val="en-US" w:eastAsia="en-US" w:bidi="ar-SA"/>
      </w:rPr>
    </w:lvl>
    <w:lvl w:ilvl="6" w:tplc="060C40CC">
      <w:numFmt w:val="bullet"/>
      <w:lvlText w:val="•"/>
      <w:lvlJc w:val="left"/>
      <w:pPr>
        <w:ind w:left="6040" w:hanging="567"/>
      </w:pPr>
      <w:rPr>
        <w:rFonts w:hint="default"/>
        <w:lang w:val="en-US" w:eastAsia="en-US" w:bidi="ar-SA"/>
      </w:rPr>
    </w:lvl>
    <w:lvl w:ilvl="7" w:tplc="3A1CCB84">
      <w:numFmt w:val="bullet"/>
      <w:lvlText w:val="•"/>
      <w:lvlJc w:val="left"/>
      <w:pPr>
        <w:ind w:left="6834" w:hanging="567"/>
      </w:pPr>
      <w:rPr>
        <w:rFonts w:hint="default"/>
        <w:lang w:val="en-US" w:eastAsia="en-US" w:bidi="ar-SA"/>
      </w:rPr>
    </w:lvl>
    <w:lvl w:ilvl="8" w:tplc="3EEEB854">
      <w:numFmt w:val="bullet"/>
      <w:lvlText w:val="•"/>
      <w:lvlJc w:val="left"/>
      <w:pPr>
        <w:ind w:left="7627" w:hanging="567"/>
      </w:pPr>
      <w:rPr>
        <w:rFonts w:hint="default"/>
        <w:lang w:val="en-US" w:eastAsia="en-US" w:bidi="ar-SA"/>
      </w:rPr>
    </w:lvl>
  </w:abstractNum>
  <w:abstractNum w:abstractNumId="4" w15:restartNumberingAfterBreak="0">
    <w:nsid w:val="79F1623C"/>
    <w:multiLevelType w:val="hybridMultilevel"/>
    <w:tmpl w:val="741CE58E"/>
    <w:lvl w:ilvl="0" w:tplc="C9100AFA">
      <w:start w:val="13"/>
      <w:numFmt w:val="decimal"/>
      <w:lvlText w:val="%1."/>
      <w:lvlJc w:val="left"/>
      <w:pPr>
        <w:ind w:left="1633" w:hanging="360"/>
      </w:pPr>
      <w:rPr>
        <w:rFonts w:hint="default"/>
      </w:rPr>
    </w:lvl>
    <w:lvl w:ilvl="1" w:tplc="04090019" w:tentative="1">
      <w:start w:val="1"/>
      <w:numFmt w:val="lowerLetter"/>
      <w:lvlText w:val="%2."/>
      <w:lvlJc w:val="left"/>
      <w:pPr>
        <w:ind w:left="2353" w:hanging="360"/>
      </w:p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409001B" w:tentative="1">
      <w:start w:val="1"/>
      <w:numFmt w:val="lowerRoman"/>
      <w:lvlText w:val="%9."/>
      <w:lvlJc w:val="right"/>
      <w:pPr>
        <w:ind w:left="7393" w:hanging="180"/>
      </w:pPr>
    </w:lvl>
  </w:abstractNum>
  <w:abstractNum w:abstractNumId="5" w15:restartNumberingAfterBreak="0">
    <w:nsid w:val="7F832A98"/>
    <w:multiLevelType w:val="hybridMultilevel"/>
    <w:tmpl w:val="875AE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2790145">
    <w:abstractNumId w:val="3"/>
  </w:num>
  <w:num w:numId="2" w16cid:durableId="2018190265">
    <w:abstractNumId w:val="0"/>
  </w:num>
  <w:num w:numId="3" w16cid:durableId="1208032349">
    <w:abstractNumId w:val="2"/>
  </w:num>
  <w:num w:numId="4" w16cid:durableId="1278025405">
    <w:abstractNumId w:val="1"/>
  </w:num>
  <w:num w:numId="5" w16cid:durableId="1225946719">
    <w:abstractNumId w:val="4"/>
  </w:num>
  <w:num w:numId="6" w16cid:durableId="1746877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867"/>
    <w:rsid w:val="0001707A"/>
    <w:rsid w:val="00022D55"/>
    <w:rsid w:val="0003321B"/>
    <w:rsid w:val="00053183"/>
    <w:rsid w:val="000929E2"/>
    <w:rsid w:val="00141667"/>
    <w:rsid w:val="001E7093"/>
    <w:rsid w:val="00211D24"/>
    <w:rsid w:val="0021246B"/>
    <w:rsid w:val="00212E71"/>
    <w:rsid w:val="002D1DCF"/>
    <w:rsid w:val="00330804"/>
    <w:rsid w:val="0038665F"/>
    <w:rsid w:val="0039368F"/>
    <w:rsid w:val="003D2816"/>
    <w:rsid w:val="004253CC"/>
    <w:rsid w:val="004A0EA0"/>
    <w:rsid w:val="004D02AC"/>
    <w:rsid w:val="00566AE2"/>
    <w:rsid w:val="00584D49"/>
    <w:rsid w:val="005F3412"/>
    <w:rsid w:val="006104CF"/>
    <w:rsid w:val="006663CF"/>
    <w:rsid w:val="00692020"/>
    <w:rsid w:val="00694380"/>
    <w:rsid w:val="006A1474"/>
    <w:rsid w:val="006D3F4F"/>
    <w:rsid w:val="0070362B"/>
    <w:rsid w:val="00732F51"/>
    <w:rsid w:val="007806F7"/>
    <w:rsid w:val="007C2F33"/>
    <w:rsid w:val="0083218A"/>
    <w:rsid w:val="00863452"/>
    <w:rsid w:val="008E3FD9"/>
    <w:rsid w:val="008F7C63"/>
    <w:rsid w:val="00923BF5"/>
    <w:rsid w:val="00A04766"/>
    <w:rsid w:val="00A507B6"/>
    <w:rsid w:val="00A66CCF"/>
    <w:rsid w:val="00AC387A"/>
    <w:rsid w:val="00B54E99"/>
    <w:rsid w:val="00BC7755"/>
    <w:rsid w:val="00C72141"/>
    <w:rsid w:val="00D83E5E"/>
    <w:rsid w:val="00DE3867"/>
    <w:rsid w:val="00DE6CD9"/>
    <w:rsid w:val="00E15087"/>
    <w:rsid w:val="00E23ABB"/>
    <w:rsid w:val="00E671B5"/>
    <w:rsid w:val="00E86951"/>
    <w:rsid w:val="00F37218"/>
    <w:rsid w:val="00F427D9"/>
    <w:rsid w:val="00F80F82"/>
    <w:rsid w:val="00FF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AB59C"/>
  <w15:chartTrackingRefBased/>
  <w15:docId w15:val="{7A25A57A-4AA9-46EA-BEFC-E9F163BFF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867"/>
    <w:rPr>
      <w:rFonts w:eastAsiaTheme="majorEastAsia" w:cstheme="majorBidi"/>
      <w:color w:val="272727" w:themeColor="text1" w:themeTint="D8"/>
    </w:rPr>
  </w:style>
  <w:style w:type="paragraph" w:styleId="Title">
    <w:name w:val="Title"/>
    <w:basedOn w:val="Normal"/>
    <w:next w:val="Normal"/>
    <w:link w:val="TitleChar"/>
    <w:uiPriority w:val="10"/>
    <w:qFormat/>
    <w:rsid w:val="00DE3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867"/>
    <w:pPr>
      <w:spacing w:before="160"/>
      <w:jc w:val="center"/>
    </w:pPr>
    <w:rPr>
      <w:i/>
      <w:iCs/>
      <w:color w:val="404040" w:themeColor="text1" w:themeTint="BF"/>
    </w:rPr>
  </w:style>
  <w:style w:type="character" w:customStyle="1" w:styleId="QuoteChar">
    <w:name w:val="Quote Char"/>
    <w:basedOn w:val="DefaultParagraphFont"/>
    <w:link w:val="Quote"/>
    <w:uiPriority w:val="29"/>
    <w:rsid w:val="00DE3867"/>
    <w:rPr>
      <w:i/>
      <w:iCs/>
      <w:color w:val="404040" w:themeColor="text1" w:themeTint="BF"/>
    </w:rPr>
  </w:style>
  <w:style w:type="paragraph" w:styleId="ListParagraph">
    <w:name w:val="List Paragraph"/>
    <w:basedOn w:val="Normal"/>
    <w:uiPriority w:val="1"/>
    <w:qFormat/>
    <w:rsid w:val="00DE3867"/>
    <w:pPr>
      <w:ind w:left="720"/>
      <w:contextualSpacing/>
    </w:pPr>
  </w:style>
  <w:style w:type="character" w:styleId="IntenseEmphasis">
    <w:name w:val="Intense Emphasis"/>
    <w:basedOn w:val="DefaultParagraphFont"/>
    <w:uiPriority w:val="21"/>
    <w:qFormat/>
    <w:rsid w:val="00DE3867"/>
    <w:rPr>
      <w:i/>
      <w:iCs/>
      <w:color w:val="0F4761" w:themeColor="accent1" w:themeShade="BF"/>
    </w:rPr>
  </w:style>
  <w:style w:type="paragraph" w:styleId="IntenseQuote">
    <w:name w:val="Intense Quote"/>
    <w:basedOn w:val="Normal"/>
    <w:next w:val="Normal"/>
    <w:link w:val="IntenseQuoteChar"/>
    <w:uiPriority w:val="30"/>
    <w:qFormat/>
    <w:rsid w:val="00DE3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867"/>
    <w:rPr>
      <w:i/>
      <w:iCs/>
      <w:color w:val="0F4761" w:themeColor="accent1" w:themeShade="BF"/>
    </w:rPr>
  </w:style>
  <w:style w:type="character" w:styleId="IntenseReference">
    <w:name w:val="Intense Reference"/>
    <w:basedOn w:val="DefaultParagraphFont"/>
    <w:uiPriority w:val="32"/>
    <w:qFormat/>
    <w:rsid w:val="00DE3867"/>
    <w:rPr>
      <w:b/>
      <w:bCs/>
      <w:smallCaps/>
      <w:color w:val="0F4761" w:themeColor="accent1" w:themeShade="BF"/>
      <w:spacing w:val="5"/>
    </w:rPr>
  </w:style>
  <w:style w:type="paragraph" w:styleId="BodyText">
    <w:name w:val="Body Text"/>
    <w:basedOn w:val="Normal"/>
    <w:link w:val="BodyTextChar"/>
    <w:uiPriority w:val="1"/>
    <w:qFormat/>
    <w:rsid w:val="00A507B6"/>
    <w:pPr>
      <w:widowControl w:val="0"/>
      <w:autoSpaceDE w:val="0"/>
      <w:autoSpaceDN w:val="0"/>
      <w:spacing w:before="130" w:after="0" w:line="240" w:lineRule="auto"/>
      <w:ind w:left="1273"/>
      <w:jc w:val="both"/>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rsid w:val="00A507B6"/>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iPriority w:val="99"/>
    <w:semiHidden/>
    <w:unhideWhenUsed/>
    <w:rsid w:val="003308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0804"/>
    <w:rPr>
      <w:sz w:val="20"/>
      <w:szCs w:val="20"/>
    </w:rPr>
  </w:style>
  <w:style w:type="character" w:styleId="FootnoteReference">
    <w:name w:val="footnote reference"/>
    <w:basedOn w:val="DefaultParagraphFont"/>
    <w:uiPriority w:val="99"/>
    <w:semiHidden/>
    <w:unhideWhenUsed/>
    <w:rsid w:val="00330804"/>
    <w:rPr>
      <w:vertAlign w:val="superscript"/>
    </w:rPr>
  </w:style>
  <w:style w:type="character" w:styleId="Hyperlink">
    <w:name w:val="Hyperlink"/>
    <w:basedOn w:val="DefaultParagraphFont"/>
    <w:uiPriority w:val="99"/>
    <w:unhideWhenUsed/>
    <w:rsid w:val="00053183"/>
    <w:rPr>
      <w:color w:val="467886" w:themeColor="hyperlink"/>
      <w:u w:val="single"/>
    </w:rPr>
  </w:style>
  <w:style w:type="paragraph" w:styleId="EndnoteText">
    <w:name w:val="endnote text"/>
    <w:basedOn w:val="Normal"/>
    <w:link w:val="EndnoteTextChar"/>
    <w:uiPriority w:val="99"/>
    <w:semiHidden/>
    <w:unhideWhenUsed/>
    <w:rsid w:val="00C721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2141"/>
    <w:rPr>
      <w:sz w:val="20"/>
      <w:szCs w:val="20"/>
    </w:rPr>
  </w:style>
  <w:style w:type="character" w:styleId="EndnoteReference">
    <w:name w:val="endnote reference"/>
    <w:basedOn w:val="DefaultParagraphFont"/>
    <w:uiPriority w:val="99"/>
    <w:semiHidden/>
    <w:unhideWhenUsed/>
    <w:rsid w:val="00C72141"/>
    <w:rPr>
      <w:vertAlign w:val="superscript"/>
    </w:rPr>
  </w:style>
  <w:style w:type="character" w:styleId="UnresolvedMention">
    <w:name w:val="Unresolved Mention"/>
    <w:basedOn w:val="DefaultParagraphFont"/>
    <w:uiPriority w:val="99"/>
    <w:semiHidden/>
    <w:unhideWhenUsed/>
    <w:rsid w:val="00F427D9"/>
    <w:rPr>
      <w:color w:val="605E5C"/>
      <w:shd w:val="clear" w:color="auto" w:fill="E1DFDD"/>
    </w:rPr>
  </w:style>
  <w:style w:type="table" w:styleId="TableGrid">
    <w:name w:val="Table Grid"/>
    <w:basedOn w:val="TableNormal"/>
    <w:uiPriority w:val="39"/>
    <w:rsid w:val="00141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VqZagBlT8Animz-qNa4FW5FIMeulkWm6/edit?usp=drive_link&amp;ouid=117166681810772555982&amp;rtpof=true&amp;sd=tru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dianinja.org/en/opiniao/as-the-planet-warms-we-must-ensure-culture-is-included-in-cop30s-adaptation-decisions/"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preservinglegacies.circle.so/c/haca-resources-wall/target-9-g-menu-indicator-approach-haca-recommendations-998780fe-23a7-4ac4-a0e2-2a9120b151b1" TargetMode="External"/><Relationship Id="rId13" Type="http://schemas.openxmlformats.org/officeDocument/2006/relationships/hyperlink" Target="https://unfccc.int/documents/651965" TargetMode="External"/><Relationship Id="rId3" Type="http://schemas.openxmlformats.org/officeDocument/2006/relationships/hyperlink" Target="https://unfccc.int/documents/649629" TargetMode="External"/><Relationship Id="rId7" Type="http://schemas.openxmlformats.org/officeDocument/2006/relationships/hyperlink" Target="https://preservinglegacies.circle.so/c/haca-resources-wall/haca-july-30-submission-to-second-consultation-under-uae-belem-work-programme-7711bab9-e9af-4742-a4c4-693dd8db46a2" TargetMode="External"/><Relationship Id="rId12" Type="http://schemas.openxmlformats.org/officeDocument/2006/relationships/hyperlink" Target="https://preservinglegacies.circle.so/c/haca-resources-wall/final-position-paper-on-work-to-develop-indicators-to-measure-progress-under-thematic-9g-and-other-culture-related-provisions-of-the-global-goal-on-adaptation-26-june-2025-75a880d0-0481-4f57-b8bc-e757f28c67bf" TargetMode="External"/><Relationship Id="rId2" Type="http://schemas.openxmlformats.org/officeDocument/2006/relationships/hyperlink" Target="https://docs.google.com/document/d/1VqZagBlT8Animz-qNa4FW5FIMeulkWm6/edit?usp=drive_link&amp;ouid=117166681810772555982&amp;rtpof=true&amp;sd=true" TargetMode="External"/><Relationship Id="rId1" Type="http://schemas.openxmlformats.org/officeDocument/2006/relationships/hyperlink" Target="https://unfccc.int/documents/654140" TargetMode="External"/><Relationship Id="rId6" Type="http://schemas.openxmlformats.org/officeDocument/2006/relationships/hyperlink" Target="https://preservinglegacies.circle.so/c/haca-resources-wall/haca-march-30-submission-8cd689-bfc01a49-d169-45c9-b394-0cc31e45963f" TargetMode="External"/><Relationship Id="rId11" Type="http://schemas.openxmlformats.org/officeDocument/2006/relationships/hyperlink" Target="https://drive.google.com/file/d/1xaHy5Oq-jDIOilkhjyZkiewa6sM6eJyW/view?usp=sharing" TargetMode="External"/><Relationship Id="rId5" Type="http://schemas.openxmlformats.org/officeDocument/2006/relationships/hyperlink" Target="https://preservinglegacies.circle.so/c/haca-resources-wall/final-position-paper-on-work-to-develop-indicators-to-measure-progress-under-thematic-9g-and-other-culture-related-provisions-of-the-global-goal-on-adaptation-26-june-2025-75a880d0-0481-4f57-b8bc-e757f28c67bf" TargetMode="External"/><Relationship Id="rId10" Type="http://schemas.openxmlformats.org/officeDocument/2006/relationships/hyperlink" Target="https://midianinja.org/en/opiniao/as-the-planet-warms-we-must-ensure-culture-is-included-in-cop30s-adaptation-decisions/" TargetMode="External"/><Relationship Id="rId4" Type="http://schemas.openxmlformats.org/officeDocument/2006/relationships/hyperlink" Target="https://drive.google.com/file/d/1xaHy5Oq-jDIOilkhjyZkiewa6sM6eJyW/view?usp=sharing" TargetMode="External"/><Relationship Id="rId9" Type="http://schemas.openxmlformats.org/officeDocument/2006/relationships/hyperlink" Target="https://preservinglegacies.circle.so/c/haca-resources-wall/haca-recommendations-on-culture-and-heritage-related-indicators-for-climate-change-adaptation-b715f312-37a6-426a-b1c0-a6dc4788a471" TargetMode="External"/><Relationship Id="rId14" Type="http://schemas.openxmlformats.org/officeDocument/2006/relationships/hyperlink" Target="https://unfccc.int/sites/default/files/resource/NCQG_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C81C5-1710-41BF-94F1-81F9C2EA6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1840</TotalTime>
  <Pages>5</Pages>
  <Words>1247</Words>
  <Characters>6949</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Potts</dc:creator>
  <cp:keywords/>
  <dc:description/>
  <cp:lastModifiedBy>Andrew Potts</cp:lastModifiedBy>
  <cp:revision>26</cp:revision>
  <dcterms:created xsi:type="dcterms:W3CDTF">2025-11-16T01:58:00Z</dcterms:created>
  <dcterms:modified xsi:type="dcterms:W3CDTF">2025-11-24T16:19:00Z</dcterms:modified>
</cp:coreProperties>
</file>