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7241E" w14:textId="0FB7EF74" w:rsidR="004914E9" w:rsidRDefault="001D6A54" w:rsidP="543570C0">
      <w:pPr>
        <w:rPr>
          <w:rFonts w:ascii="Calibri" w:eastAsia="Calibri" w:hAnsi="Calibri" w:cs="Calibri"/>
          <w:b/>
          <w:bCs/>
          <w:color w:val="000000" w:themeColor="text1"/>
          <w:u w:val="single"/>
          <w:lang w:val="en-GB"/>
        </w:rPr>
      </w:pPr>
      <w:proofErr w:type="spellStart"/>
      <w:r>
        <w:rPr>
          <w:rFonts w:ascii="Calibri" w:eastAsia="Calibri" w:hAnsi="Calibri" w:cs="Calibri"/>
          <w:b/>
          <w:bCs/>
          <w:color w:val="000000" w:themeColor="text1"/>
          <w:u w:val="single"/>
          <w:lang w:val="en-GB"/>
        </w:rPr>
        <w:t>Cul</w:t>
      </w:r>
      <w:r w:rsidR="543570C0" w:rsidRPr="543570C0">
        <w:rPr>
          <w:rFonts w:ascii="Calibri" w:eastAsia="Calibri" w:hAnsi="Calibri" w:cs="Calibri"/>
          <w:b/>
          <w:bCs/>
          <w:color w:val="000000" w:themeColor="text1"/>
          <w:u w:val="single"/>
          <w:lang w:val="en-GB"/>
        </w:rPr>
        <w:t>Cultural</w:t>
      </w:r>
      <w:proofErr w:type="spellEnd"/>
      <w:r w:rsidR="543570C0" w:rsidRPr="543570C0">
        <w:rPr>
          <w:rFonts w:ascii="Calibri" w:eastAsia="Calibri" w:hAnsi="Calibri" w:cs="Calibri"/>
          <w:b/>
          <w:bCs/>
          <w:color w:val="000000" w:themeColor="text1"/>
          <w:u w:val="single"/>
          <w:lang w:val="en-GB"/>
        </w:rPr>
        <w:t xml:space="preserve"> Heritage Thematic Target: Progress Report </w:t>
      </w:r>
    </w:p>
    <w:p w14:paraId="57E44570" w14:textId="5862B532" w:rsidR="004914E9" w:rsidRDefault="004914E9" w:rsidP="543570C0">
      <w:pPr>
        <w:rPr>
          <w:rFonts w:ascii="Calibri" w:eastAsia="Calibri" w:hAnsi="Calibri" w:cs="Calibri"/>
          <w:b/>
          <w:bCs/>
          <w:color w:val="000000" w:themeColor="text1"/>
          <w:sz w:val="22"/>
          <w:szCs w:val="22"/>
          <w:u w:val="single"/>
          <w:lang w:val="en-GB"/>
        </w:rPr>
      </w:pPr>
    </w:p>
    <w:p w14:paraId="7F148DE0" w14:textId="0C0A6F4D" w:rsidR="004914E9" w:rsidRDefault="543570C0" w:rsidP="543570C0">
      <w:pPr>
        <w:rPr>
          <w:rFonts w:ascii="Calibri" w:eastAsia="Calibri" w:hAnsi="Calibri" w:cs="Calibri"/>
          <w:b/>
          <w:bCs/>
          <w:color w:val="000000" w:themeColor="text1"/>
          <w:sz w:val="22"/>
          <w:szCs w:val="22"/>
          <w:lang w:val="en-GB"/>
        </w:rPr>
      </w:pPr>
      <w:r w:rsidRPr="543570C0">
        <w:rPr>
          <w:rFonts w:ascii="Calibri" w:eastAsia="Calibri" w:hAnsi="Calibri" w:cs="Calibri"/>
          <w:b/>
          <w:bCs/>
          <w:color w:val="000000" w:themeColor="text1"/>
          <w:sz w:val="22"/>
          <w:szCs w:val="22"/>
          <w:lang w:val="en-GB"/>
        </w:rPr>
        <w:t>Cultural Heritage Expert Group (in alphabetical order)</w:t>
      </w:r>
    </w:p>
    <w:p w14:paraId="0F563885" w14:textId="5981E9C9" w:rsidR="004914E9" w:rsidRDefault="004914E9" w:rsidP="543570C0">
      <w:pPr>
        <w:rPr>
          <w:rFonts w:ascii="Calibri" w:eastAsia="Calibri" w:hAnsi="Calibri" w:cs="Calibri"/>
          <w:b/>
          <w:bCs/>
          <w:color w:val="000000" w:themeColor="text1"/>
          <w:sz w:val="22"/>
          <w:szCs w:val="22"/>
          <w:lang w:val="en-GB"/>
        </w:rPr>
      </w:pPr>
    </w:p>
    <w:p w14:paraId="5F67D5B4" w14:textId="72132620" w:rsidR="004914E9" w:rsidRDefault="543570C0" w:rsidP="543570C0">
      <w:pPr>
        <w:pStyle w:val="ListParagraph"/>
        <w:numPr>
          <w:ilvl w:val="0"/>
          <w:numId w:val="4"/>
        </w:numPr>
        <w:rPr>
          <w:rFonts w:ascii="Calibri" w:eastAsia="Calibri" w:hAnsi="Calibri" w:cs="Calibri"/>
          <w:color w:val="000000" w:themeColor="text1"/>
          <w:sz w:val="22"/>
          <w:szCs w:val="22"/>
          <w:lang w:val="en-GB"/>
        </w:rPr>
      </w:pPr>
      <w:r w:rsidRPr="543570C0">
        <w:rPr>
          <w:rFonts w:ascii="Calibri" w:eastAsia="Calibri" w:hAnsi="Calibri" w:cs="Calibri"/>
          <w:color w:val="000000" w:themeColor="text1"/>
          <w:sz w:val="22"/>
          <w:szCs w:val="22"/>
          <w:lang w:val="en-GB"/>
        </w:rPr>
        <w:t>Ian Ruru, Ministry for the Environment, NZ</w:t>
      </w:r>
    </w:p>
    <w:p w14:paraId="71A4E920" w14:textId="10C123EA" w:rsidR="004914E9" w:rsidRDefault="56D04366" w:rsidP="543570C0">
      <w:pPr>
        <w:pStyle w:val="ListParagraph"/>
        <w:numPr>
          <w:ilvl w:val="0"/>
          <w:numId w:val="4"/>
        </w:numPr>
        <w:rPr>
          <w:rFonts w:ascii="Calibri" w:eastAsia="Calibri" w:hAnsi="Calibri" w:cs="Calibri"/>
          <w:color w:val="000000" w:themeColor="text1"/>
          <w:sz w:val="22"/>
          <w:szCs w:val="22"/>
          <w:lang w:val="en-GB"/>
        </w:rPr>
      </w:pPr>
      <w:r w:rsidRPr="56D04366">
        <w:rPr>
          <w:rFonts w:ascii="Calibri" w:eastAsia="Calibri" w:hAnsi="Calibri" w:cs="Calibri"/>
          <w:color w:val="000000" w:themeColor="text1"/>
          <w:sz w:val="22"/>
          <w:szCs w:val="22"/>
          <w:lang w:val="en-GB"/>
        </w:rPr>
        <w:t xml:space="preserve">Jayshree </w:t>
      </w:r>
      <w:proofErr w:type="spellStart"/>
      <w:r w:rsidRPr="56D04366">
        <w:rPr>
          <w:rFonts w:ascii="Calibri" w:eastAsia="Calibri" w:hAnsi="Calibri" w:cs="Calibri"/>
          <w:color w:val="000000" w:themeColor="text1"/>
          <w:sz w:val="22"/>
          <w:szCs w:val="22"/>
          <w:lang w:val="en-GB"/>
        </w:rPr>
        <w:t>Mungur-Medhi</w:t>
      </w:r>
      <w:proofErr w:type="spellEnd"/>
      <w:r w:rsidRPr="56D04366">
        <w:rPr>
          <w:rFonts w:ascii="Calibri" w:eastAsia="Calibri" w:hAnsi="Calibri" w:cs="Calibri"/>
          <w:color w:val="000000" w:themeColor="text1"/>
          <w:sz w:val="22"/>
          <w:szCs w:val="22"/>
          <w:lang w:val="en-GB"/>
        </w:rPr>
        <w:t>, National Heritage Fund, Mauritius</w:t>
      </w:r>
    </w:p>
    <w:p w14:paraId="4C0AD57E" w14:textId="53EA9C6D" w:rsidR="004914E9" w:rsidRDefault="543570C0" w:rsidP="543570C0">
      <w:pPr>
        <w:pStyle w:val="ListParagraph"/>
        <w:numPr>
          <w:ilvl w:val="0"/>
          <w:numId w:val="4"/>
        </w:numPr>
        <w:rPr>
          <w:rFonts w:ascii="Calibri" w:eastAsia="Calibri" w:hAnsi="Calibri" w:cs="Calibri"/>
          <w:color w:val="000000" w:themeColor="text1"/>
          <w:sz w:val="22"/>
          <w:szCs w:val="22"/>
          <w:lang w:val="en-GB"/>
        </w:rPr>
      </w:pPr>
      <w:r w:rsidRPr="543570C0">
        <w:rPr>
          <w:rFonts w:ascii="Calibri" w:eastAsia="Calibri" w:hAnsi="Calibri" w:cs="Calibri"/>
          <w:color w:val="000000" w:themeColor="text1"/>
          <w:sz w:val="22"/>
          <w:szCs w:val="22"/>
          <w:lang w:val="en-GB"/>
        </w:rPr>
        <w:t xml:space="preserve">Johanna Nalau, Griffith University </w:t>
      </w:r>
    </w:p>
    <w:p w14:paraId="1AE10AE2" w14:textId="3CCD3028" w:rsidR="004914E9" w:rsidRDefault="543570C0" w:rsidP="543570C0">
      <w:pPr>
        <w:pStyle w:val="ListParagraph"/>
        <w:numPr>
          <w:ilvl w:val="0"/>
          <w:numId w:val="4"/>
        </w:numPr>
        <w:spacing w:after="160" w:line="235" w:lineRule="auto"/>
        <w:rPr>
          <w:rFonts w:ascii="Calibri" w:eastAsia="Calibri" w:hAnsi="Calibri" w:cs="Calibri"/>
          <w:color w:val="000000" w:themeColor="text1"/>
          <w:sz w:val="22"/>
          <w:szCs w:val="22"/>
          <w:lang w:val="en-GB"/>
        </w:rPr>
      </w:pPr>
      <w:r w:rsidRPr="543570C0">
        <w:rPr>
          <w:rFonts w:ascii="Calibri" w:eastAsia="Calibri" w:hAnsi="Calibri" w:cs="Calibri"/>
          <w:color w:val="000000" w:themeColor="text1"/>
          <w:sz w:val="22"/>
          <w:szCs w:val="22"/>
          <w:lang w:val="en-GB"/>
        </w:rPr>
        <w:t>Jyoti Hosagrahar, UNESCO</w:t>
      </w:r>
    </w:p>
    <w:p w14:paraId="6963718A" w14:textId="7F1DAB18" w:rsidR="004914E9" w:rsidRDefault="56D04366" w:rsidP="543570C0">
      <w:pPr>
        <w:pStyle w:val="ListParagraph"/>
        <w:numPr>
          <w:ilvl w:val="0"/>
          <w:numId w:val="4"/>
        </w:numPr>
        <w:spacing w:after="160" w:line="235" w:lineRule="auto"/>
        <w:rPr>
          <w:rFonts w:ascii="Calibri" w:eastAsia="Calibri" w:hAnsi="Calibri" w:cs="Calibri"/>
          <w:color w:val="000000" w:themeColor="text1"/>
          <w:sz w:val="22"/>
          <w:szCs w:val="22"/>
          <w:lang w:val="en-GB"/>
        </w:rPr>
      </w:pPr>
      <w:r w:rsidRPr="56D04366">
        <w:rPr>
          <w:rFonts w:ascii="Calibri" w:eastAsia="Calibri" w:hAnsi="Calibri" w:cs="Calibri"/>
          <w:color w:val="000000" w:themeColor="text1"/>
          <w:sz w:val="22"/>
          <w:szCs w:val="22"/>
          <w:lang w:val="en-GB"/>
        </w:rPr>
        <w:t>Luckson Zvobgo, African Climate and Development Initiative, University of Cape Town</w:t>
      </w:r>
    </w:p>
    <w:p w14:paraId="35B3A01B" w14:textId="3BD0EE84" w:rsidR="56D04366" w:rsidRDefault="56D04366" w:rsidP="56D04366">
      <w:pPr>
        <w:pStyle w:val="ListParagraph"/>
        <w:spacing w:after="160" w:line="235" w:lineRule="auto"/>
        <w:rPr>
          <w:rFonts w:ascii="Calibri" w:eastAsia="Calibri" w:hAnsi="Calibri" w:cs="Calibri"/>
          <w:color w:val="000000" w:themeColor="text1"/>
          <w:sz w:val="22"/>
          <w:szCs w:val="22"/>
          <w:lang w:val="en-GB"/>
        </w:rPr>
      </w:pPr>
    </w:p>
    <w:p w14:paraId="6AAEB5D5" w14:textId="6A59D9F0" w:rsidR="56D04366" w:rsidRDefault="56D04366" w:rsidP="56D04366">
      <w:pPr>
        <w:spacing w:after="160" w:line="235" w:lineRule="auto"/>
        <w:rPr>
          <w:rFonts w:ascii="Calibri" w:eastAsia="Calibri" w:hAnsi="Calibri" w:cs="Calibri"/>
          <w:b/>
          <w:bCs/>
          <w:color w:val="000000" w:themeColor="text1"/>
          <w:sz w:val="22"/>
          <w:szCs w:val="22"/>
          <w:lang w:val="en-GB"/>
        </w:rPr>
      </w:pPr>
      <w:r w:rsidRPr="56D04366">
        <w:rPr>
          <w:rFonts w:ascii="Calibri" w:eastAsia="Calibri" w:hAnsi="Calibri" w:cs="Calibri"/>
          <w:b/>
          <w:bCs/>
          <w:color w:val="000000" w:themeColor="text1"/>
          <w:sz w:val="22"/>
          <w:szCs w:val="22"/>
          <w:lang w:val="en-GB"/>
        </w:rPr>
        <w:t xml:space="preserve"> Cultural Heritage Target </w:t>
      </w:r>
    </w:p>
    <w:p w14:paraId="6FBCD9C5" w14:textId="2672B106" w:rsidR="56D04366" w:rsidRDefault="56D04366" w:rsidP="56D04366">
      <w:pPr>
        <w:pStyle w:val="ListParagraph"/>
        <w:rPr>
          <w:rFonts w:ascii="Calibri" w:eastAsia="Calibri" w:hAnsi="Calibri" w:cs="Calibri"/>
          <w:i/>
          <w:iCs/>
          <w:sz w:val="22"/>
          <w:szCs w:val="22"/>
          <w:lang w:val="en-GB"/>
        </w:rPr>
      </w:pPr>
      <w:r w:rsidRPr="56D04366">
        <w:rPr>
          <w:rFonts w:ascii="Calibri" w:eastAsia="Calibri" w:hAnsi="Calibri" w:cs="Calibri"/>
          <w:i/>
          <w:iCs/>
          <w:sz w:val="22"/>
          <w:szCs w:val="22"/>
          <w:lang w:val="en-GB"/>
        </w:rPr>
        <w:t xml:space="preserve">Protecting cultural heritage from the impacts of climate-related risks by developing adaptive strategies for preserving cultural practices and heritage sites and by designing climate-resilient infrastructure, guided by traditional knowledge, Indigenous Peoples’ knowledge and local knowledge systems </w:t>
      </w:r>
    </w:p>
    <w:p w14:paraId="3EA4E519" w14:textId="25A5FBCD" w:rsidR="56D04366" w:rsidRDefault="56D04366" w:rsidP="56D04366">
      <w:pPr>
        <w:ind w:left="720"/>
        <w:rPr>
          <w:rFonts w:ascii="Calibri" w:eastAsia="Calibri" w:hAnsi="Calibri" w:cs="Calibri"/>
          <w:i/>
          <w:iCs/>
          <w:sz w:val="22"/>
          <w:szCs w:val="22"/>
          <w:lang w:val="en-GB"/>
        </w:rPr>
      </w:pPr>
    </w:p>
    <w:p w14:paraId="144F3AE1" w14:textId="469D2208" w:rsidR="004914E9" w:rsidRDefault="56D04366" w:rsidP="56D04366">
      <w:pPr>
        <w:pStyle w:val="ListParagraph"/>
        <w:spacing w:line="257" w:lineRule="auto"/>
        <w:ind w:hanging="360"/>
        <w:rPr>
          <w:rFonts w:ascii="Calibri" w:eastAsia="Calibri" w:hAnsi="Calibri" w:cs="Calibri"/>
          <w:b/>
          <w:bCs/>
          <w:sz w:val="22"/>
          <w:szCs w:val="22"/>
          <w:lang w:val="en-GB"/>
        </w:rPr>
      </w:pPr>
      <w:r w:rsidRPr="56D04366">
        <w:rPr>
          <w:rFonts w:ascii="Calibri" w:eastAsia="Calibri" w:hAnsi="Calibri" w:cs="Calibri"/>
          <w:b/>
          <w:bCs/>
          <w:sz w:val="22"/>
          <w:szCs w:val="22"/>
          <w:lang w:val="en-GB"/>
        </w:rPr>
        <w:t>Progress to date</w:t>
      </w:r>
    </w:p>
    <w:p w14:paraId="73B2DF11" w14:textId="22D72A1E" w:rsidR="004914E9" w:rsidRDefault="543570C0" w:rsidP="543570C0">
      <w:pPr>
        <w:pStyle w:val="ListParagraph"/>
        <w:numPr>
          <w:ilvl w:val="0"/>
          <w:numId w:val="5"/>
        </w:numPr>
        <w:spacing w:line="257" w:lineRule="auto"/>
        <w:rPr>
          <w:rFonts w:ascii="Calibri" w:eastAsia="Calibri" w:hAnsi="Calibri" w:cs="Calibri"/>
          <w:sz w:val="22"/>
          <w:szCs w:val="22"/>
          <w:lang w:val="en-US"/>
        </w:rPr>
      </w:pPr>
      <w:r w:rsidRPr="543570C0">
        <w:rPr>
          <w:rFonts w:ascii="Calibri" w:eastAsia="Calibri" w:hAnsi="Calibri" w:cs="Calibri"/>
          <w:sz w:val="22"/>
          <w:szCs w:val="22"/>
          <w:lang w:val="en-US"/>
        </w:rPr>
        <w:t>Reviewed indicators based on their relevance to 12(a) and to 12(b) (YES, NO, MAYBE)</w:t>
      </w:r>
    </w:p>
    <w:p w14:paraId="45738D1E" w14:textId="387A50A3" w:rsidR="004914E9" w:rsidRDefault="543570C0" w:rsidP="543570C0">
      <w:pPr>
        <w:pStyle w:val="ListParagraph"/>
        <w:numPr>
          <w:ilvl w:val="1"/>
          <w:numId w:val="5"/>
        </w:numPr>
        <w:spacing w:line="310" w:lineRule="auto"/>
        <w:rPr>
          <w:rFonts w:ascii="Calibri" w:eastAsia="Calibri" w:hAnsi="Calibri" w:cs="Calibri"/>
          <w:i/>
          <w:iCs/>
          <w:sz w:val="22"/>
          <w:szCs w:val="22"/>
          <w:lang w:val="en"/>
        </w:rPr>
      </w:pPr>
      <w:r w:rsidRPr="543570C0">
        <w:rPr>
          <w:rFonts w:ascii="Calibri" w:eastAsia="Calibri" w:hAnsi="Calibri" w:cs="Calibri"/>
          <w:i/>
          <w:iCs/>
          <w:sz w:val="22"/>
          <w:szCs w:val="22"/>
          <w:lang w:val="en"/>
        </w:rPr>
        <w:t>12(a) The relevance of the indicators to measuring progress towards one or more of the targets referred to in paragraphs 9–10 of decision 2/CMA.</w:t>
      </w:r>
      <w:proofErr w:type="gramStart"/>
      <w:r w:rsidRPr="543570C0">
        <w:rPr>
          <w:rFonts w:ascii="Calibri" w:eastAsia="Calibri" w:hAnsi="Calibri" w:cs="Calibri"/>
          <w:i/>
          <w:iCs/>
          <w:sz w:val="22"/>
          <w:szCs w:val="22"/>
          <w:lang w:val="en"/>
        </w:rPr>
        <w:t>5;</w:t>
      </w:r>
      <w:proofErr w:type="gramEnd"/>
    </w:p>
    <w:p w14:paraId="438CAEB6" w14:textId="4AFBA4C2" w:rsidR="004914E9" w:rsidRDefault="56D04366" w:rsidP="543570C0">
      <w:pPr>
        <w:pStyle w:val="ListParagraph"/>
        <w:numPr>
          <w:ilvl w:val="1"/>
          <w:numId w:val="5"/>
        </w:numPr>
        <w:spacing w:line="310" w:lineRule="auto"/>
        <w:rPr>
          <w:rFonts w:ascii="Calibri" w:eastAsia="Calibri" w:hAnsi="Calibri" w:cs="Calibri"/>
          <w:i/>
          <w:iCs/>
          <w:sz w:val="22"/>
          <w:szCs w:val="22"/>
          <w:lang w:val="en-US"/>
        </w:rPr>
      </w:pPr>
      <w:r w:rsidRPr="56D04366">
        <w:rPr>
          <w:rFonts w:ascii="Calibri" w:eastAsia="Calibri" w:hAnsi="Calibri" w:cs="Calibri"/>
          <w:i/>
          <w:iCs/>
          <w:sz w:val="22"/>
          <w:szCs w:val="22"/>
          <w:lang w:val="en-US"/>
        </w:rPr>
        <w:t>12(b) The specific relevance of the indicators to adaptation, including enhancing adaptive capacity, strengthening resilience and reducing vulnerability to climate change.</w:t>
      </w:r>
    </w:p>
    <w:p w14:paraId="589F7CE8" w14:textId="7204E8D6" w:rsidR="56D04366" w:rsidRDefault="56D04366" w:rsidP="56D04366">
      <w:pPr>
        <w:spacing w:line="257" w:lineRule="auto"/>
        <w:ind w:left="720"/>
        <w:rPr>
          <w:rFonts w:ascii="Calibri" w:eastAsia="Calibri" w:hAnsi="Calibri" w:cs="Calibri"/>
          <w:sz w:val="22"/>
          <w:szCs w:val="22"/>
          <w:lang w:val="en-GB"/>
        </w:rPr>
      </w:pPr>
    </w:p>
    <w:p w14:paraId="747FF293" w14:textId="6510FCA3" w:rsidR="56D04366" w:rsidRDefault="56D04366" w:rsidP="56D04366">
      <w:pPr>
        <w:spacing w:line="257" w:lineRule="auto"/>
        <w:ind w:left="720"/>
        <w:rPr>
          <w:rFonts w:ascii="Calibri" w:eastAsia="Calibri" w:hAnsi="Calibri" w:cs="Calibri"/>
          <w:b/>
          <w:bCs/>
          <w:sz w:val="22"/>
          <w:szCs w:val="22"/>
          <w:lang w:val="en-GB"/>
        </w:rPr>
      </w:pPr>
      <w:r w:rsidRPr="56D04366">
        <w:rPr>
          <w:rFonts w:ascii="Calibri" w:eastAsia="Calibri" w:hAnsi="Calibri" w:cs="Calibri"/>
          <w:b/>
          <w:bCs/>
          <w:sz w:val="22"/>
          <w:szCs w:val="22"/>
          <w:lang w:val="en-GB"/>
        </w:rPr>
        <w:t>Approach</w:t>
      </w:r>
    </w:p>
    <w:p w14:paraId="2DDC68DE" w14:textId="28776292" w:rsidR="56D04366" w:rsidRDefault="56D04366" w:rsidP="56D04366">
      <w:pPr>
        <w:pStyle w:val="ListParagraph"/>
        <w:numPr>
          <w:ilvl w:val="0"/>
          <w:numId w:val="3"/>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Online meetings held among the 5 experts</w:t>
      </w:r>
    </w:p>
    <w:p w14:paraId="0EE43B03" w14:textId="7A9DBA01" w:rsidR="56D04366" w:rsidRDefault="56D04366" w:rsidP="56D04366">
      <w:pPr>
        <w:pStyle w:val="ListParagraph"/>
        <w:numPr>
          <w:ilvl w:val="0"/>
          <w:numId w:val="3"/>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Indicators for Cultural Heritage were identified and duplicated on a separate spreadsheet</w:t>
      </w:r>
    </w:p>
    <w:p w14:paraId="47E80113" w14:textId="1C0C95FD" w:rsidR="56D04366" w:rsidRDefault="56D04366" w:rsidP="56D04366">
      <w:pPr>
        <w:pStyle w:val="ListParagraph"/>
        <w:numPr>
          <w:ilvl w:val="0"/>
          <w:numId w:val="3"/>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In total 234 indicators were identified after removing the duplicates</w:t>
      </w:r>
    </w:p>
    <w:p w14:paraId="453BF090" w14:textId="76984C24" w:rsidR="004914E9" w:rsidRDefault="56D04366" w:rsidP="56D04366">
      <w:pPr>
        <w:pStyle w:val="ListParagraph"/>
        <w:numPr>
          <w:ilvl w:val="0"/>
          <w:numId w:val="3"/>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Experts reviewed the indicators and cross-checked each other’s analysis on the categorisation + explanation of why YES, NO, MAYBE.</w:t>
      </w:r>
    </w:p>
    <w:p w14:paraId="58D730FC" w14:textId="30ACCF16" w:rsidR="004914E9" w:rsidRDefault="543570C0" w:rsidP="543570C0">
      <w:pPr>
        <w:spacing w:line="235" w:lineRule="auto"/>
        <w:ind w:left="1440"/>
      </w:pPr>
      <w:r w:rsidRPr="543570C0">
        <w:rPr>
          <w:rFonts w:ascii="Calibri" w:eastAsia="Calibri" w:hAnsi="Calibri" w:cs="Calibri"/>
          <w:color w:val="000000" w:themeColor="text1"/>
          <w:sz w:val="22"/>
          <w:szCs w:val="22"/>
          <w:lang w:val="en-GB"/>
        </w:rPr>
        <w:t xml:space="preserve"> </w:t>
      </w:r>
    </w:p>
    <w:p w14:paraId="34933E0F" w14:textId="3AF99049" w:rsidR="004914E9" w:rsidRDefault="56D04366" w:rsidP="56D04366">
      <w:pPr>
        <w:pStyle w:val="ListParagraph"/>
        <w:numPr>
          <w:ilvl w:val="0"/>
          <w:numId w:val="5"/>
        </w:numPr>
        <w:spacing w:line="257" w:lineRule="auto"/>
        <w:rPr>
          <w:rFonts w:ascii="Calibri" w:eastAsia="Calibri" w:hAnsi="Calibri" w:cs="Calibri"/>
          <w:b/>
          <w:bCs/>
          <w:color w:val="4EA72E" w:themeColor="accent6"/>
          <w:sz w:val="22"/>
          <w:szCs w:val="22"/>
          <w:lang w:val="en-GB"/>
        </w:rPr>
      </w:pPr>
      <w:r w:rsidRPr="56D04366">
        <w:rPr>
          <w:rFonts w:ascii="Calibri" w:eastAsia="Calibri" w:hAnsi="Calibri" w:cs="Calibri"/>
          <w:b/>
          <w:bCs/>
          <w:sz w:val="22"/>
          <w:szCs w:val="22"/>
          <w:lang w:val="en-GB"/>
        </w:rPr>
        <w:t>Key findings</w:t>
      </w:r>
    </w:p>
    <w:p w14:paraId="47497146" w14:textId="3155076D" w:rsidR="004914E9" w:rsidRDefault="56D04366" w:rsidP="543570C0">
      <w:pPr>
        <w:pStyle w:val="ListParagraph"/>
        <w:numPr>
          <w:ilvl w:val="1"/>
          <w:numId w:val="5"/>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Statistics / numbers of indicators reviewed: 234</w:t>
      </w:r>
    </w:p>
    <w:p w14:paraId="1E08D022" w14:textId="0B75F915" w:rsidR="004914E9" w:rsidRDefault="56D04366" w:rsidP="543570C0">
      <w:pPr>
        <w:pStyle w:val="ListParagraph"/>
        <w:numPr>
          <w:ilvl w:val="1"/>
          <w:numId w:val="5"/>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Numbers categorized as Yes/No/Maybe for 12a and 12b:</w:t>
      </w:r>
    </w:p>
    <w:tbl>
      <w:tblPr>
        <w:tblW w:w="0" w:type="auto"/>
        <w:tblLayout w:type="fixed"/>
        <w:tblLook w:val="06A0" w:firstRow="1" w:lastRow="0" w:firstColumn="1" w:lastColumn="0" w:noHBand="1" w:noVBand="1"/>
      </w:tblPr>
      <w:tblGrid>
        <w:gridCol w:w="1680"/>
        <w:gridCol w:w="1680"/>
        <w:gridCol w:w="1680"/>
      </w:tblGrid>
      <w:tr w:rsidR="56D04366" w14:paraId="291B2470" w14:textId="77777777" w:rsidTr="56D04366">
        <w:trPr>
          <w:trHeight w:val="465"/>
        </w:trPr>
        <w:tc>
          <w:tcPr>
            <w:tcW w:w="1680" w:type="dxa"/>
            <w:tcBorders>
              <w:top w:val="nil"/>
              <w:left w:val="nil"/>
              <w:bottom w:val="nil"/>
              <w:right w:val="nil"/>
            </w:tcBorders>
            <w:vAlign w:val="bottom"/>
          </w:tcPr>
          <w:p w14:paraId="09F48774" w14:textId="43666644" w:rsidR="56D04366" w:rsidRDefault="56D04366" w:rsidP="56D04366">
            <w:r w:rsidRPr="56D04366">
              <w:rPr>
                <w:rFonts w:ascii="Calibri" w:eastAsia="Calibri" w:hAnsi="Calibri" w:cs="Calibri"/>
                <w:color w:val="000000" w:themeColor="text1"/>
                <w:sz w:val="22"/>
                <w:szCs w:val="22"/>
              </w:rPr>
              <w:t>12a</w:t>
            </w:r>
          </w:p>
        </w:tc>
        <w:tc>
          <w:tcPr>
            <w:tcW w:w="1680" w:type="dxa"/>
            <w:tcBorders>
              <w:top w:val="nil"/>
              <w:left w:val="nil"/>
              <w:bottom w:val="nil"/>
              <w:right w:val="nil"/>
            </w:tcBorders>
            <w:vAlign w:val="bottom"/>
          </w:tcPr>
          <w:p w14:paraId="0058F004" w14:textId="68F8A924" w:rsidR="56D04366" w:rsidRDefault="56D04366" w:rsidP="56D04366">
            <w:pPr>
              <w:jc w:val="center"/>
            </w:pPr>
            <w:r w:rsidRPr="56D04366">
              <w:rPr>
                <w:rFonts w:ascii="Calibri" w:eastAsia="Calibri" w:hAnsi="Calibri" w:cs="Calibri"/>
                <w:color w:val="000000" w:themeColor="text1"/>
                <w:sz w:val="22"/>
                <w:szCs w:val="22"/>
              </w:rPr>
              <w:t>Yes</w:t>
            </w:r>
          </w:p>
        </w:tc>
        <w:tc>
          <w:tcPr>
            <w:tcW w:w="1680" w:type="dxa"/>
            <w:tcBorders>
              <w:top w:val="nil"/>
              <w:left w:val="nil"/>
              <w:bottom w:val="nil"/>
              <w:right w:val="nil"/>
            </w:tcBorders>
            <w:vAlign w:val="bottom"/>
          </w:tcPr>
          <w:p w14:paraId="1ED1082E" w14:textId="1D724C48" w:rsidR="56D04366" w:rsidRDefault="56D04366" w:rsidP="56D04366">
            <w:pPr>
              <w:jc w:val="center"/>
            </w:pPr>
            <w:bookmarkStart w:id="0" w:name="OLE_LINK1"/>
            <w:bookmarkStart w:id="1" w:name="OLE_LINK2"/>
            <w:r w:rsidRPr="56D04366">
              <w:rPr>
                <w:rFonts w:ascii="Calibri" w:eastAsia="Calibri" w:hAnsi="Calibri" w:cs="Calibri"/>
                <w:color w:val="000000" w:themeColor="text1"/>
                <w:sz w:val="22"/>
                <w:szCs w:val="22"/>
              </w:rPr>
              <w:t>97</w:t>
            </w:r>
            <w:bookmarkEnd w:id="0"/>
            <w:bookmarkEnd w:id="1"/>
          </w:p>
        </w:tc>
      </w:tr>
      <w:tr w:rsidR="56D04366" w14:paraId="2EC55D29" w14:textId="77777777" w:rsidTr="56D04366">
        <w:trPr>
          <w:trHeight w:val="465"/>
        </w:trPr>
        <w:tc>
          <w:tcPr>
            <w:tcW w:w="1680" w:type="dxa"/>
            <w:tcBorders>
              <w:top w:val="nil"/>
              <w:left w:val="nil"/>
              <w:bottom w:val="nil"/>
              <w:right w:val="nil"/>
            </w:tcBorders>
            <w:vAlign w:val="bottom"/>
          </w:tcPr>
          <w:p w14:paraId="31BDD338" w14:textId="0751E963" w:rsidR="56D04366" w:rsidRDefault="56D04366"/>
        </w:tc>
        <w:tc>
          <w:tcPr>
            <w:tcW w:w="1680" w:type="dxa"/>
            <w:tcBorders>
              <w:top w:val="nil"/>
              <w:left w:val="nil"/>
              <w:bottom w:val="nil"/>
              <w:right w:val="nil"/>
            </w:tcBorders>
            <w:vAlign w:val="bottom"/>
          </w:tcPr>
          <w:p w14:paraId="1074BCF1" w14:textId="4236F18E" w:rsidR="56D04366" w:rsidRDefault="56D04366" w:rsidP="56D04366">
            <w:pPr>
              <w:jc w:val="center"/>
            </w:pPr>
            <w:r w:rsidRPr="56D04366">
              <w:rPr>
                <w:rFonts w:ascii="Calibri" w:eastAsia="Calibri" w:hAnsi="Calibri" w:cs="Calibri"/>
                <w:color w:val="000000" w:themeColor="text1"/>
                <w:sz w:val="22"/>
                <w:szCs w:val="22"/>
              </w:rPr>
              <w:t>No</w:t>
            </w:r>
          </w:p>
        </w:tc>
        <w:tc>
          <w:tcPr>
            <w:tcW w:w="1680" w:type="dxa"/>
            <w:tcBorders>
              <w:top w:val="nil"/>
              <w:left w:val="nil"/>
              <w:bottom w:val="nil"/>
              <w:right w:val="nil"/>
            </w:tcBorders>
            <w:vAlign w:val="bottom"/>
          </w:tcPr>
          <w:p w14:paraId="7C229D19" w14:textId="4BD1FD51" w:rsidR="56D04366" w:rsidRDefault="56D04366" w:rsidP="56D04366">
            <w:pPr>
              <w:jc w:val="center"/>
            </w:pPr>
            <w:r w:rsidRPr="56D04366">
              <w:rPr>
                <w:rFonts w:ascii="Calibri" w:eastAsia="Calibri" w:hAnsi="Calibri" w:cs="Calibri"/>
                <w:color w:val="000000" w:themeColor="text1"/>
                <w:sz w:val="22"/>
                <w:szCs w:val="22"/>
              </w:rPr>
              <w:t>80</w:t>
            </w:r>
          </w:p>
        </w:tc>
      </w:tr>
      <w:tr w:rsidR="56D04366" w14:paraId="1DCF5614" w14:textId="77777777" w:rsidTr="56D04366">
        <w:trPr>
          <w:trHeight w:val="465"/>
        </w:trPr>
        <w:tc>
          <w:tcPr>
            <w:tcW w:w="1680" w:type="dxa"/>
            <w:tcBorders>
              <w:top w:val="nil"/>
              <w:left w:val="nil"/>
              <w:bottom w:val="nil"/>
              <w:right w:val="nil"/>
            </w:tcBorders>
            <w:vAlign w:val="bottom"/>
          </w:tcPr>
          <w:p w14:paraId="2DF9280F" w14:textId="622FA286" w:rsidR="56D04366" w:rsidRDefault="56D04366"/>
        </w:tc>
        <w:tc>
          <w:tcPr>
            <w:tcW w:w="1680" w:type="dxa"/>
            <w:tcBorders>
              <w:top w:val="nil"/>
              <w:left w:val="nil"/>
              <w:bottom w:val="nil"/>
              <w:right w:val="nil"/>
            </w:tcBorders>
            <w:vAlign w:val="bottom"/>
          </w:tcPr>
          <w:p w14:paraId="4C8A5CD5" w14:textId="65E44690" w:rsidR="56D04366" w:rsidRDefault="56D04366" w:rsidP="56D04366">
            <w:pPr>
              <w:jc w:val="center"/>
            </w:pPr>
            <w:r w:rsidRPr="56D04366">
              <w:rPr>
                <w:rFonts w:ascii="Calibri" w:eastAsia="Calibri" w:hAnsi="Calibri" w:cs="Calibri"/>
                <w:color w:val="000000" w:themeColor="text1"/>
                <w:sz w:val="22"/>
                <w:szCs w:val="22"/>
              </w:rPr>
              <w:t xml:space="preserve">Maybe </w:t>
            </w:r>
          </w:p>
        </w:tc>
        <w:tc>
          <w:tcPr>
            <w:tcW w:w="1680" w:type="dxa"/>
            <w:tcBorders>
              <w:top w:val="nil"/>
              <w:left w:val="nil"/>
              <w:bottom w:val="nil"/>
              <w:right w:val="nil"/>
            </w:tcBorders>
            <w:vAlign w:val="bottom"/>
          </w:tcPr>
          <w:p w14:paraId="6F3ACFC0" w14:textId="6B54C9C9" w:rsidR="56D04366" w:rsidRDefault="56D04366" w:rsidP="56D04366">
            <w:pPr>
              <w:jc w:val="center"/>
            </w:pPr>
            <w:r w:rsidRPr="56D04366">
              <w:rPr>
                <w:rFonts w:ascii="Calibri" w:eastAsia="Calibri" w:hAnsi="Calibri" w:cs="Calibri"/>
                <w:color w:val="000000" w:themeColor="text1"/>
                <w:sz w:val="22"/>
                <w:szCs w:val="22"/>
              </w:rPr>
              <w:t>57</w:t>
            </w:r>
          </w:p>
        </w:tc>
      </w:tr>
      <w:tr w:rsidR="56D04366" w14:paraId="46D796A1" w14:textId="77777777" w:rsidTr="56D04366">
        <w:trPr>
          <w:trHeight w:val="465"/>
        </w:trPr>
        <w:tc>
          <w:tcPr>
            <w:tcW w:w="1680" w:type="dxa"/>
            <w:tcBorders>
              <w:top w:val="nil"/>
              <w:left w:val="nil"/>
              <w:bottom w:val="nil"/>
              <w:right w:val="nil"/>
            </w:tcBorders>
            <w:vAlign w:val="bottom"/>
          </w:tcPr>
          <w:p w14:paraId="201FEEBA" w14:textId="7207F486" w:rsidR="56D04366" w:rsidRDefault="56D04366"/>
        </w:tc>
        <w:tc>
          <w:tcPr>
            <w:tcW w:w="1680" w:type="dxa"/>
            <w:tcBorders>
              <w:top w:val="nil"/>
              <w:left w:val="nil"/>
              <w:bottom w:val="nil"/>
              <w:right w:val="nil"/>
            </w:tcBorders>
            <w:vAlign w:val="bottom"/>
          </w:tcPr>
          <w:p w14:paraId="3B69BADB" w14:textId="3CE66C11" w:rsidR="56D04366" w:rsidRDefault="56D04366"/>
        </w:tc>
        <w:tc>
          <w:tcPr>
            <w:tcW w:w="1680" w:type="dxa"/>
            <w:tcBorders>
              <w:top w:val="nil"/>
              <w:left w:val="nil"/>
              <w:bottom w:val="nil"/>
              <w:right w:val="nil"/>
            </w:tcBorders>
            <w:vAlign w:val="bottom"/>
          </w:tcPr>
          <w:p w14:paraId="341CBACF" w14:textId="1626EB90" w:rsidR="56D04366" w:rsidRDefault="56D04366"/>
        </w:tc>
      </w:tr>
      <w:tr w:rsidR="56D04366" w14:paraId="4B3CFE19" w14:textId="77777777" w:rsidTr="56D04366">
        <w:trPr>
          <w:trHeight w:val="465"/>
        </w:trPr>
        <w:tc>
          <w:tcPr>
            <w:tcW w:w="1680" w:type="dxa"/>
            <w:tcBorders>
              <w:top w:val="nil"/>
              <w:left w:val="nil"/>
              <w:bottom w:val="nil"/>
              <w:right w:val="nil"/>
            </w:tcBorders>
            <w:vAlign w:val="bottom"/>
          </w:tcPr>
          <w:p w14:paraId="6F57D421" w14:textId="4563FACA" w:rsidR="56D04366" w:rsidRDefault="56D04366" w:rsidP="56D04366">
            <w:r w:rsidRPr="56D04366">
              <w:rPr>
                <w:rFonts w:ascii="Calibri" w:eastAsia="Calibri" w:hAnsi="Calibri" w:cs="Calibri"/>
                <w:color w:val="000000" w:themeColor="text1"/>
                <w:sz w:val="22"/>
                <w:szCs w:val="22"/>
              </w:rPr>
              <w:t>12b</w:t>
            </w:r>
          </w:p>
        </w:tc>
        <w:tc>
          <w:tcPr>
            <w:tcW w:w="1680" w:type="dxa"/>
            <w:tcBorders>
              <w:top w:val="nil"/>
              <w:left w:val="nil"/>
              <w:bottom w:val="nil"/>
              <w:right w:val="nil"/>
            </w:tcBorders>
            <w:vAlign w:val="bottom"/>
          </w:tcPr>
          <w:p w14:paraId="2760CA3A" w14:textId="52C318EF" w:rsidR="56D04366" w:rsidRDefault="56D04366" w:rsidP="56D04366">
            <w:pPr>
              <w:jc w:val="center"/>
            </w:pPr>
            <w:r w:rsidRPr="56D04366">
              <w:rPr>
                <w:rFonts w:ascii="Calibri" w:eastAsia="Calibri" w:hAnsi="Calibri" w:cs="Calibri"/>
                <w:color w:val="000000" w:themeColor="text1"/>
                <w:sz w:val="22"/>
                <w:szCs w:val="22"/>
              </w:rPr>
              <w:t>Yes</w:t>
            </w:r>
          </w:p>
        </w:tc>
        <w:tc>
          <w:tcPr>
            <w:tcW w:w="1680" w:type="dxa"/>
            <w:tcBorders>
              <w:top w:val="nil"/>
              <w:left w:val="nil"/>
              <w:bottom w:val="nil"/>
              <w:right w:val="nil"/>
            </w:tcBorders>
            <w:vAlign w:val="bottom"/>
          </w:tcPr>
          <w:p w14:paraId="3A8862A7" w14:textId="43991A2C" w:rsidR="56D04366" w:rsidRDefault="56D04366" w:rsidP="56D04366">
            <w:pPr>
              <w:jc w:val="center"/>
            </w:pPr>
            <w:r w:rsidRPr="56D04366">
              <w:rPr>
                <w:rFonts w:ascii="Calibri" w:eastAsia="Calibri" w:hAnsi="Calibri" w:cs="Calibri"/>
                <w:color w:val="000000" w:themeColor="text1"/>
                <w:sz w:val="22"/>
                <w:szCs w:val="22"/>
              </w:rPr>
              <w:t>76</w:t>
            </w:r>
          </w:p>
        </w:tc>
      </w:tr>
      <w:tr w:rsidR="56D04366" w14:paraId="729F04D5" w14:textId="77777777" w:rsidTr="56D04366">
        <w:trPr>
          <w:trHeight w:val="465"/>
        </w:trPr>
        <w:tc>
          <w:tcPr>
            <w:tcW w:w="1680" w:type="dxa"/>
            <w:tcBorders>
              <w:top w:val="nil"/>
              <w:left w:val="nil"/>
              <w:bottom w:val="nil"/>
              <w:right w:val="nil"/>
            </w:tcBorders>
            <w:vAlign w:val="bottom"/>
          </w:tcPr>
          <w:p w14:paraId="5F6B4835" w14:textId="6C410E8F" w:rsidR="56D04366" w:rsidRDefault="56D04366"/>
        </w:tc>
        <w:tc>
          <w:tcPr>
            <w:tcW w:w="1680" w:type="dxa"/>
            <w:tcBorders>
              <w:top w:val="nil"/>
              <w:left w:val="nil"/>
              <w:bottom w:val="nil"/>
              <w:right w:val="nil"/>
            </w:tcBorders>
            <w:vAlign w:val="bottom"/>
          </w:tcPr>
          <w:p w14:paraId="1E2AAEFC" w14:textId="38B13DA9" w:rsidR="56D04366" w:rsidRDefault="56D04366" w:rsidP="56D04366">
            <w:pPr>
              <w:jc w:val="center"/>
            </w:pPr>
            <w:r w:rsidRPr="56D04366">
              <w:rPr>
                <w:rFonts w:ascii="Calibri" w:eastAsia="Calibri" w:hAnsi="Calibri" w:cs="Calibri"/>
                <w:color w:val="000000" w:themeColor="text1"/>
                <w:sz w:val="22"/>
                <w:szCs w:val="22"/>
              </w:rPr>
              <w:t xml:space="preserve">No </w:t>
            </w:r>
          </w:p>
        </w:tc>
        <w:tc>
          <w:tcPr>
            <w:tcW w:w="1680" w:type="dxa"/>
            <w:tcBorders>
              <w:top w:val="nil"/>
              <w:left w:val="nil"/>
              <w:bottom w:val="nil"/>
              <w:right w:val="nil"/>
            </w:tcBorders>
            <w:vAlign w:val="bottom"/>
          </w:tcPr>
          <w:p w14:paraId="67AF6DEA" w14:textId="12401CD5" w:rsidR="56D04366" w:rsidRDefault="56D04366" w:rsidP="56D04366">
            <w:pPr>
              <w:jc w:val="center"/>
            </w:pPr>
            <w:r w:rsidRPr="56D04366">
              <w:rPr>
                <w:rFonts w:ascii="Calibri" w:eastAsia="Calibri" w:hAnsi="Calibri" w:cs="Calibri"/>
                <w:color w:val="000000" w:themeColor="text1"/>
                <w:sz w:val="22"/>
                <w:szCs w:val="22"/>
              </w:rPr>
              <w:t>65</w:t>
            </w:r>
          </w:p>
        </w:tc>
      </w:tr>
      <w:tr w:rsidR="56D04366" w14:paraId="243020A3" w14:textId="77777777" w:rsidTr="56D04366">
        <w:trPr>
          <w:trHeight w:val="465"/>
        </w:trPr>
        <w:tc>
          <w:tcPr>
            <w:tcW w:w="1680" w:type="dxa"/>
            <w:tcBorders>
              <w:top w:val="nil"/>
              <w:left w:val="nil"/>
              <w:bottom w:val="nil"/>
              <w:right w:val="nil"/>
            </w:tcBorders>
            <w:vAlign w:val="bottom"/>
          </w:tcPr>
          <w:p w14:paraId="2848EFC2" w14:textId="381BE9BD" w:rsidR="56D04366" w:rsidRDefault="56D04366"/>
        </w:tc>
        <w:tc>
          <w:tcPr>
            <w:tcW w:w="1680" w:type="dxa"/>
            <w:tcBorders>
              <w:top w:val="nil"/>
              <w:left w:val="nil"/>
              <w:bottom w:val="nil"/>
              <w:right w:val="nil"/>
            </w:tcBorders>
            <w:vAlign w:val="bottom"/>
          </w:tcPr>
          <w:p w14:paraId="6BA653F1" w14:textId="35B103B1" w:rsidR="56D04366" w:rsidRDefault="56D04366" w:rsidP="56D04366">
            <w:pPr>
              <w:jc w:val="center"/>
            </w:pPr>
            <w:r w:rsidRPr="56D04366">
              <w:rPr>
                <w:rFonts w:ascii="Calibri" w:eastAsia="Calibri" w:hAnsi="Calibri" w:cs="Calibri"/>
                <w:color w:val="000000" w:themeColor="text1"/>
                <w:sz w:val="22"/>
                <w:szCs w:val="22"/>
              </w:rPr>
              <w:t xml:space="preserve">Maybe </w:t>
            </w:r>
          </w:p>
        </w:tc>
        <w:tc>
          <w:tcPr>
            <w:tcW w:w="1680" w:type="dxa"/>
            <w:tcBorders>
              <w:top w:val="nil"/>
              <w:left w:val="nil"/>
              <w:bottom w:val="nil"/>
              <w:right w:val="nil"/>
            </w:tcBorders>
            <w:vAlign w:val="bottom"/>
          </w:tcPr>
          <w:p w14:paraId="69425A80" w14:textId="6C0A08F1" w:rsidR="56D04366" w:rsidRDefault="56D04366" w:rsidP="56D04366">
            <w:pPr>
              <w:jc w:val="center"/>
            </w:pPr>
            <w:r w:rsidRPr="56D04366">
              <w:rPr>
                <w:rFonts w:ascii="Calibri" w:eastAsia="Calibri" w:hAnsi="Calibri" w:cs="Calibri"/>
                <w:color w:val="000000" w:themeColor="text1"/>
                <w:sz w:val="22"/>
                <w:szCs w:val="22"/>
              </w:rPr>
              <w:t>93</w:t>
            </w:r>
          </w:p>
        </w:tc>
      </w:tr>
    </w:tbl>
    <w:p w14:paraId="1E802220" w14:textId="462FA951" w:rsidR="56D04366" w:rsidRDefault="56D04366" w:rsidP="56D04366">
      <w:pPr>
        <w:spacing w:line="257" w:lineRule="auto"/>
        <w:ind w:left="1440"/>
        <w:rPr>
          <w:rFonts w:ascii="Calibri" w:eastAsia="Calibri" w:hAnsi="Calibri" w:cs="Calibri"/>
          <w:sz w:val="22"/>
          <w:szCs w:val="22"/>
          <w:lang w:val="en-GB"/>
        </w:rPr>
      </w:pPr>
    </w:p>
    <w:p w14:paraId="375BB07B" w14:textId="40D179BE" w:rsidR="004914E9" w:rsidRDefault="543570C0" w:rsidP="543570C0">
      <w:pPr>
        <w:spacing w:line="235" w:lineRule="auto"/>
        <w:ind w:left="1440"/>
      </w:pPr>
      <w:r w:rsidRPr="543570C0">
        <w:rPr>
          <w:rFonts w:ascii="Calibri" w:eastAsia="Calibri" w:hAnsi="Calibri" w:cs="Calibri"/>
          <w:color w:val="000000" w:themeColor="text1"/>
          <w:sz w:val="22"/>
          <w:szCs w:val="22"/>
          <w:lang w:val="en-GB"/>
        </w:rPr>
        <w:t xml:space="preserve"> </w:t>
      </w:r>
    </w:p>
    <w:p w14:paraId="6E37EF90" w14:textId="112F766F" w:rsidR="004914E9" w:rsidRDefault="543570C0" w:rsidP="543570C0">
      <w:pPr>
        <w:pStyle w:val="ListParagraph"/>
        <w:numPr>
          <w:ilvl w:val="0"/>
          <w:numId w:val="5"/>
        </w:numPr>
        <w:spacing w:line="257" w:lineRule="auto"/>
        <w:rPr>
          <w:rFonts w:ascii="Calibri" w:eastAsia="Calibri" w:hAnsi="Calibri" w:cs="Calibri"/>
          <w:b/>
          <w:bCs/>
          <w:sz w:val="22"/>
          <w:szCs w:val="22"/>
          <w:lang w:val="en-GB"/>
        </w:rPr>
      </w:pPr>
      <w:r w:rsidRPr="543570C0">
        <w:rPr>
          <w:rFonts w:ascii="Calibri" w:eastAsia="Calibri" w:hAnsi="Calibri" w:cs="Calibri"/>
          <w:b/>
          <w:bCs/>
          <w:sz w:val="22"/>
          <w:szCs w:val="22"/>
          <w:lang w:val="en-GB"/>
        </w:rPr>
        <w:t>Additional high-level observations, including examples</w:t>
      </w:r>
    </w:p>
    <w:p w14:paraId="2DB93A58" w14:textId="02A3DCBB" w:rsidR="004914E9" w:rsidRDefault="56D04366" w:rsidP="543570C0">
      <w:pPr>
        <w:pStyle w:val="ListParagraph"/>
        <w:numPr>
          <w:ilvl w:val="1"/>
          <w:numId w:val="5"/>
        </w:numPr>
        <w:spacing w:line="257" w:lineRule="auto"/>
        <w:rPr>
          <w:rFonts w:ascii="Calibri" w:eastAsia="Calibri" w:hAnsi="Calibri" w:cs="Calibri"/>
          <w:sz w:val="22"/>
          <w:szCs w:val="22"/>
        </w:rPr>
      </w:pPr>
      <w:r w:rsidRPr="56D04366">
        <w:rPr>
          <w:rFonts w:ascii="Calibri" w:eastAsia="Calibri" w:hAnsi="Calibri" w:cs="Calibri"/>
          <w:sz w:val="22"/>
          <w:szCs w:val="22"/>
        </w:rPr>
        <w:t xml:space="preserve">Direct Cultural Heritage indicators are very underrepresented in this process: there were only 233 indicators (after removing duplicates) on Cultural Heritage compared to the 5000 indicators that were submitted. </w:t>
      </w:r>
    </w:p>
    <w:p w14:paraId="196702D5" w14:textId="44447039" w:rsidR="004914E9" w:rsidRDefault="56D04366" w:rsidP="543570C0">
      <w:pPr>
        <w:pStyle w:val="ListParagraph"/>
        <w:numPr>
          <w:ilvl w:val="1"/>
          <w:numId w:val="5"/>
        </w:numPr>
        <w:spacing w:line="257" w:lineRule="auto"/>
        <w:rPr>
          <w:rFonts w:ascii="Calibri" w:eastAsia="Calibri" w:hAnsi="Calibri" w:cs="Calibri"/>
          <w:sz w:val="22"/>
          <w:szCs w:val="22"/>
        </w:rPr>
      </w:pPr>
      <w:r w:rsidRPr="56D04366">
        <w:rPr>
          <w:rFonts w:ascii="Calibri" w:eastAsia="Calibri" w:hAnsi="Calibri" w:cs="Calibri"/>
          <w:sz w:val="22"/>
          <w:szCs w:val="22"/>
        </w:rPr>
        <w:t>Some indicators are not directly relevant to Cultural Heritage but indirectly do impact on cultural heritage.</w:t>
      </w:r>
      <w:r w:rsidRPr="56D04366">
        <w:rPr>
          <w:rFonts w:ascii="Calibri" w:eastAsia="Calibri" w:hAnsi="Calibri" w:cs="Calibri"/>
          <w:b/>
          <w:bCs/>
          <w:sz w:val="22"/>
          <w:szCs w:val="22"/>
        </w:rPr>
        <w:t xml:space="preserve"> </w:t>
      </w:r>
      <w:r w:rsidRPr="56D04366">
        <w:rPr>
          <w:rFonts w:ascii="Calibri" w:eastAsia="Calibri" w:hAnsi="Calibri" w:cs="Calibri"/>
          <w:sz w:val="22"/>
          <w:szCs w:val="22"/>
        </w:rPr>
        <w:t>For example</w:t>
      </w:r>
      <w:r w:rsidRPr="56D04366">
        <w:rPr>
          <w:rFonts w:ascii="Calibri" w:eastAsia="Calibri" w:hAnsi="Calibri" w:cs="Calibri"/>
          <w:b/>
          <w:bCs/>
          <w:sz w:val="22"/>
          <w:szCs w:val="22"/>
        </w:rPr>
        <w:t xml:space="preserve"> </w:t>
      </w:r>
      <w:r w:rsidRPr="005D74F5">
        <w:rPr>
          <w:rFonts w:ascii="Calibri" w:eastAsia="Calibri" w:hAnsi="Calibri" w:cs="Calibri"/>
          <w:sz w:val="22"/>
          <w:szCs w:val="22"/>
        </w:rPr>
        <w:t>land tenure or water management</w:t>
      </w:r>
      <w:r w:rsidRPr="56D04366">
        <w:rPr>
          <w:rFonts w:ascii="Calibri" w:eastAsia="Calibri" w:hAnsi="Calibri" w:cs="Calibri"/>
          <w:b/>
          <w:bCs/>
          <w:sz w:val="22"/>
          <w:szCs w:val="22"/>
        </w:rPr>
        <w:t>.</w:t>
      </w:r>
      <w:r w:rsidRPr="56D04366">
        <w:rPr>
          <w:rFonts w:ascii="Calibri" w:eastAsia="Calibri" w:hAnsi="Calibri" w:cs="Calibri"/>
          <w:sz w:val="22"/>
          <w:szCs w:val="22"/>
        </w:rPr>
        <w:t xml:space="preserve"> Lack of progress in other targets will in the end impact on cultural heritage. </w:t>
      </w:r>
    </w:p>
    <w:p w14:paraId="45AE31D6" w14:textId="788442A3" w:rsidR="004914E9" w:rsidRDefault="56D04366" w:rsidP="543570C0">
      <w:pPr>
        <w:pStyle w:val="ListParagraph"/>
        <w:numPr>
          <w:ilvl w:val="1"/>
          <w:numId w:val="5"/>
        </w:numPr>
        <w:spacing w:line="257" w:lineRule="auto"/>
        <w:rPr>
          <w:rFonts w:ascii="Calibri" w:eastAsia="Calibri" w:hAnsi="Calibri" w:cs="Calibri"/>
          <w:sz w:val="22"/>
          <w:szCs w:val="22"/>
          <w:lang w:val="en-GB"/>
        </w:rPr>
      </w:pPr>
      <w:r w:rsidRPr="56D04366">
        <w:rPr>
          <w:rFonts w:ascii="Calibri" w:eastAsia="Calibri" w:hAnsi="Calibri" w:cs="Calibri"/>
          <w:sz w:val="22"/>
          <w:szCs w:val="22"/>
        </w:rPr>
        <w:t>New proposed indicators often lack the level of detail needed to estimate whether they could globally report on progress in climate adaptation specific to Cultural Heritage Thematic target or GGA overall. Some new indicators that are suggested for example by ICOMOS (</w:t>
      </w:r>
      <w:proofErr w:type="spellStart"/>
      <w:r w:rsidRPr="56D04366">
        <w:rPr>
          <w:rFonts w:ascii="Calibri" w:eastAsia="Calibri" w:hAnsi="Calibri" w:cs="Calibri"/>
          <w:sz w:val="22"/>
          <w:szCs w:val="22"/>
        </w:rPr>
        <w:t>e.g</w:t>
      </w:r>
      <w:proofErr w:type="spellEnd"/>
      <w:r w:rsidRPr="56D04366">
        <w:rPr>
          <w:rFonts w:ascii="Calibri" w:eastAsia="Calibri" w:hAnsi="Calibri" w:cs="Calibri"/>
          <w:sz w:val="22"/>
          <w:szCs w:val="22"/>
        </w:rPr>
        <w:t xml:space="preserve"> ‘</w:t>
      </w:r>
      <w:r w:rsidRPr="56D04366">
        <w:rPr>
          <w:rFonts w:ascii="Calibri" w:eastAsia="Calibri" w:hAnsi="Calibri" w:cs="Calibri"/>
          <w:color w:val="000000" w:themeColor="text1"/>
          <w:sz w:val="22"/>
          <w:szCs w:val="22"/>
        </w:rPr>
        <w:t xml:space="preserve">Adoption of mechanisms to ensure that IP &amp; LC have a leading role in deciding where adaptation funding is used’, ID 4908) have not been worded in detail to capture cultural heritage elements, yet have extensive associated information that would enable to do so. </w:t>
      </w:r>
    </w:p>
    <w:p w14:paraId="43E361A2" w14:textId="2A6AF9AE" w:rsidR="56D04366" w:rsidRDefault="56D04366" w:rsidP="56D04366">
      <w:pPr>
        <w:pStyle w:val="ListParagraph"/>
        <w:numPr>
          <w:ilvl w:val="1"/>
          <w:numId w:val="5"/>
        </w:numPr>
        <w:spacing w:line="257" w:lineRule="auto"/>
        <w:rPr>
          <w:rFonts w:ascii="Calibri" w:eastAsia="Calibri" w:hAnsi="Calibri" w:cs="Calibri"/>
          <w:color w:val="000000" w:themeColor="text1"/>
          <w:sz w:val="22"/>
          <w:szCs w:val="22"/>
        </w:rPr>
      </w:pPr>
      <w:r w:rsidRPr="56D04366">
        <w:rPr>
          <w:rFonts w:ascii="Calibri" w:eastAsia="Calibri" w:hAnsi="Calibri" w:cs="Calibri"/>
          <w:color w:val="000000" w:themeColor="text1"/>
          <w:sz w:val="22"/>
          <w:szCs w:val="22"/>
        </w:rPr>
        <w:t>Many Indicators proposed are worded as broad objectives or as targets rather than indicators. While one may agree with the overall objective, it seems the expert group would need to formulate an indicator for it.</w:t>
      </w:r>
    </w:p>
    <w:p w14:paraId="2F513FDD" w14:textId="60A01E3A" w:rsidR="56D04366" w:rsidRDefault="56D04366" w:rsidP="56D04366">
      <w:pPr>
        <w:pStyle w:val="ListParagraph"/>
        <w:numPr>
          <w:ilvl w:val="1"/>
          <w:numId w:val="5"/>
        </w:numPr>
        <w:spacing w:line="257" w:lineRule="auto"/>
        <w:rPr>
          <w:rFonts w:ascii="Calibri" w:eastAsia="Calibri" w:hAnsi="Calibri" w:cs="Calibri"/>
          <w:color w:val="000000" w:themeColor="text1"/>
          <w:sz w:val="22"/>
          <w:szCs w:val="22"/>
        </w:rPr>
      </w:pPr>
      <w:r w:rsidRPr="56D04366">
        <w:rPr>
          <w:rFonts w:ascii="Calibri" w:eastAsia="Calibri" w:hAnsi="Calibri" w:cs="Calibri"/>
          <w:color w:val="000000" w:themeColor="text1"/>
          <w:sz w:val="22"/>
          <w:szCs w:val="22"/>
        </w:rPr>
        <w:t>Indicators proposed by States Parties are also quite specific to some contexts such as ‘preservation of mountain heritage.’ This does not seem useful.</w:t>
      </w:r>
    </w:p>
    <w:p w14:paraId="50DDE1F8" w14:textId="4B59F75B" w:rsidR="56D04366" w:rsidRDefault="56D04366" w:rsidP="56D04366">
      <w:pPr>
        <w:pStyle w:val="ListParagraph"/>
        <w:numPr>
          <w:ilvl w:val="1"/>
          <w:numId w:val="5"/>
        </w:numPr>
        <w:spacing w:line="257" w:lineRule="auto"/>
        <w:rPr>
          <w:rFonts w:ascii="Calibri" w:eastAsia="Calibri" w:hAnsi="Calibri" w:cs="Calibri"/>
          <w:color w:val="000000" w:themeColor="text1"/>
          <w:sz w:val="22"/>
          <w:szCs w:val="22"/>
        </w:rPr>
      </w:pPr>
      <w:r w:rsidRPr="56D04366">
        <w:rPr>
          <w:rFonts w:ascii="Calibri" w:eastAsia="Calibri" w:hAnsi="Calibri" w:cs="Calibri"/>
          <w:color w:val="000000" w:themeColor="text1"/>
          <w:sz w:val="22"/>
          <w:szCs w:val="22"/>
        </w:rPr>
        <w:t xml:space="preserve">Other indicators proposed seem to be specific to certain types of cultural heritage. It seems such an approach would result in a very large number of indicators. </w:t>
      </w:r>
    </w:p>
    <w:p w14:paraId="504A9792" w14:textId="12A9CBB8" w:rsidR="56D04366" w:rsidRDefault="56D04366" w:rsidP="56D04366">
      <w:pPr>
        <w:pStyle w:val="ListParagraph"/>
        <w:numPr>
          <w:ilvl w:val="1"/>
          <w:numId w:val="5"/>
        </w:numPr>
        <w:spacing w:line="257" w:lineRule="auto"/>
        <w:rPr>
          <w:rFonts w:ascii="Calibri" w:eastAsia="Calibri" w:hAnsi="Calibri" w:cs="Calibri"/>
          <w:color w:val="000000" w:themeColor="text1"/>
          <w:sz w:val="22"/>
          <w:szCs w:val="22"/>
        </w:rPr>
      </w:pPr>
      <w:r w:rsidRPr="56D04366">
        <w:rPr>
          <w:rFonts w:ascii="Calibri" w:eastAsia="Calibri" w:hAnsi="Calibri" w:cs="Calibri"/>
          <w:color w:val="000000" w:themeColor="text1"/>
          <w:sz w:val="22"/>
          <w:szCs w:val="22"/>
        </w:rPr>
        <w:t>Other indicators proposed are only applicable at the local community level which raises questions about how the indicators will be eventually implemented.</w:t>
      </w:r>
    </w:p>
    <w:p w14:paraId="6FEB4C66" w14:textId="3A292CA3" w:rsidR="004914E9" w:rsidRDefault="004914E9" w:rsidP="56D04366">
      <w:pPr>
        <w:pStyle w:val="ListParagraph"/>
        <w:spacing w:line="257" w:lineRule="auto"/>
        <w:ind w:left="1080"/>
        <w:rPr>
          <w:rFonts w:ascii="Calibri" w:eastAsia="Calibri" w:hAnsi="Calibri" w:cs="Calibri"/>
          <w:sz w:val="22"/>
          <w:szCs w:val="22"/>
          <w:lang w:val="en-GB"/>
        </w:rPr>
      </w:pPr>
    </w:p>
    <w:p w14:paraId="5F255F28" w14:textId="76E48663" w:rsidR="004914E9" w:rsidRDefault="543570C0" w:rsidP="543570C0">
      <w:pPr>
        <w:spacing w:line="235" w:lineRule="auto"/>
        <w:ind w:left="1440"/>
      </w:pPr>
      <w:r w:rsidRPr="543570C0">
        <w:rPr>
          <w:rFonts w:ascii="Calibri" w:eastAsia="Calibri" w:hAnsi="Calibri" w:cs="Calibri"/>
          <w:color w:val="000000" w:themeColor="text1"/>
          <w:sz w:val="22"/>
          <w:szCs w:val="22"/>
          <w:lang w:val="en-GB"/>
        </w:rPr>
        <w:t xml:space="preserve"> </w:t>
      </w:r>
    </w:p>
    <w:p w14:paraId="523D7EF3" w14:textId="18FE6580" w:rsidR="004914E9" w:rsidRDefault="543570C0" w:rsidP="543570C0">
      <w:pPr>
        <w:pStyle w:val="ListParagraph"/>
        <w:numPr>
          <w:ilvl w:val="0"/>
          <w:numId w:val="5"/>
        </w:numPr>
        <w:spacing w:line="257" w:lineRule="auto"/>
        <w:rPr>
          <w:rFonts w:ascii="Calibri" w:eastAsia="Calibri" w:hAnsi="Calibri" w:cs="Calibri"/>
          <w:b/>
          <w:bCs/>
          <w:sz w:val="22"/>
          <w:szCs w:val="22"/>
          <w:lang w:val="en-GB"/>
        </w:rPr>
      </w:pPr>
      <w:r w:rsidRPr="543570C0">
        <w:rPr>
          <w:rFonts w:ascii="Calibri" w:eastAsia="Calibri" w:hAnsi="Calibri" w:cs="Calibri"/>
          <w:b/>
          <w:bCs/>
          <w:sz w:val="22"/>
          <w:szCs w:val="22"/>
          <w:lang w:val="en-GB"/>
        </w:rPr>
        <w:t>Common reasons for deciding relevance in relation to 12a and 12b</w:t>
      </w:r>
    </w:p>
    <w:p w14:paraId="3AB171C7" w14:textId="1032DF41" w:rsidR="004914E9" w:rsidRDefault="543570C0" w:rsidP="543570C0">
      <w:pPr>
        <w:pStyle w:val="ListParagraph"/>
        <w:numPr>
          <w:ilvl w:val="1"/>
          <w:numId w:val="5"/>
        </w:numPr>
        <w:spacing w:line="257" w:lineRule="auto"/>
        <w:rPr>
          <w:rFonts w:ascii="Calibri" w:eastAsia="Calibri" w:hAnsi="Calibri" w:cs="Calibri"/>
          <w:b/>
          <w:bCs/>
          <w:sz w:val="22"/>
          <w:szCs w:val="22"/>
          <w:u w:val="single"/>
          <w:lang w:val="en-GB"/>
        </w:rPr>
      </w:pPr>
      <w:r w:rsidRPr="543570C0">
        <w:rPr>
          <w:rFonts w:ascii="Calibri" w:eastAsia="Calibri" w:hAnsi="Calibri" w:cs="Calibri"/>
          <w:b/>
          <w:bCs/>
          <w:sz w:val="22"/>
          <w:szCs w:val="22"/>
          <w:u w:val="single"/>
          <w:lang w:val="en-GB"/>
        </w:rPr>
        <w:t>Common Reasons for ‘Yes’</w:t>
      </w:r>
    </w:p>
    <w:p w14:paraId="07C8CCE8" w14:textId="6881A93C" w:rsidR="56D04366" w:rsidRDefault="56D04366" w:rsidP="56D04366">
      <w:pPr>
        <w:pStyle w:val="ListParagraph"/>
        <w:spacing w:line="257" w:lineRule="auto"/>
        <w:ind w:left="1080"/>
        <w:rPr>
          <w:rFonts w:ascii="Calibri" w:eastAsia="Calibri" w:hAnsi="Calibri" w:cs="Calibri"/>
          <w:color w:val="000000" w:themeColor="text1"/>
          <w:sz w:val="22"/>
          <w:szCs w:val="22"/>
          <w:lang w:val="en-GB"/>
        </w:rPr>
      </w:pPr>
      <w:r w:rsidRPr="56D04366">
        <w:rPr>
          <w:rFonts w:ascii="Calibri" w:eastAsia="Calibri" w:hAnsi="Calibri" w:cs="Calibri"/>
          <w:sz w:val="22"/>
          <w:szCs w:val="22"/>
          <w:lang w:val="en-GB"/>
        </w:rPr>
        <w:t>Common reasons to categorise an indicator under ‘Yes’ included direct relevance for Cultural Heritage and that aligns with 12a and 12b. For example, ‘</w:t>
      </w:r>
      <w:r w:rsidRPr="56D04366">
        <w:rPr>
          <w:rFonts w:ascii="Calibri" w:eastAsia="Calibri" w:hAnsi="Calibri" w:cs="Calibri"/>
          <w:color w:val="000000" w:themeColor="text1"/>
          <w:sz w:val="22"/>
          <w:szCs w:val="22"/>
          <w:lang w:val="en-GB"/>
        </w:rPr>
        <w:t xml:space="preserve">SDG 11.4.1 Total per capita expenditure on the preservation, protection and conservation of all cultural and natural heritage, by source of funding (public, private), type of heritage (cultural, natural) and level of government’ (ID 2872) was categorised as ‘Yes’. </w:t>
      </w:r>
    </w:p>
    <w:p w14:paraId="2DB0B23E" w14:textId="291CA91E" w:rsidR="56D04366" w:rsidRDefault="56D04366" w:rsidP="56D04366">
      <w:pPr>
        <w:pStyle w:val="ListParagraph"/>
        <w:spacing w:line="257" w:lineRule="auto"/>
        <w:ind w:left="1080"/>
        <w:rPr>
          <w:rFonts w:ascii="Calibri" w:eastAsia="Calibri" w:hAnsi="Calibri" w:cs="Calibri"/>
          <w:color w:val="000000" w:themeColor="text1"/>
          <w:sz w:val="22"/>
          <w:szCs w:val="22"/>
          <w:lang w:val="en-GB"/>
        </w:rPr>
      </w:pPr>
    </w:p>
    <w:p w14:paraId="6C70C2CE" w14:textId="33AD3FCB" w:rsidR="56D04366" w:rsidRDefault="56D04366" w:rsidP="56D04366">
      <w:pPr>
        <w:pStyle w:val="ListParagraph"/>
        <w:spacing w:line="257" w:lineRule="auto"/>
        <w:ind w:left="1080"/>
        <w:rPr>
          <w:rFonts w:ascii="Calibri" w:eastAsia="Calibri" w:hAnsi="Calibri" w:cs="Calibri"/>
          <w:color w:val="000000" w:themeColor="text1"/>
          <w:sz w:val="22"/>
          <w:szCs w:val="22"/>
          <w:lang w:val="en-GB"/>
        </w:rPr>
      </w:pPr>
      <w:r w:rsidRPr="56D04366">
        <w:rPr>
          <w:rFonts w:ascii="Calibri" w:eastAsia="Calibri" w:hAnsi="Calibri" w:cs="Calibri"/>
          <w:color w:val="000000" w:themeColor="text1"/>
          <w:sz w:val="22"/>
          <w:szCs w:val="22"/>
          <w:lang w:val="en-GB"/>
        </w:rPr>
        <w:t xml:space="preserve">Many ‘Yes’ indicators are related to UNESCO’s Indicator ‘3 that aims to assess measures taken to foster climate change mitigation and adaptation and enhance resilience through sustainable safeguarding and management of tangible and intangible cultural heritage as well as natural heritage. In addition to Indicator 3, the </w:t>
      </w:r>
      <w:r w:rsidRPr="005D74F5">
        <w:rPr>
          <w:rFonts w:ascii="Calibri" w:eastAsia="Calibri" w:hAnsi="Calibri" w:cs="Calibri"/>
          <w:i/>
          <w:iCs/>
          <w:color w:val="000000" w:themeColor="text1"/>
          <w:sz w:val="22"/>
          <w:szCs w:val="22"/>
          <w:lang w:val="en-GB"/>
        </w:rPr>
        <w:t>UNESCO Culture|2030 Indicators</w:t>
      </w:r>
      <w:r w:rsidRPr="56D04366">
        <w:rPr>
          <w:rFonts w:ascii="Calibri" w:eastAsia="Calibri" w:hAnsi="Calibri" w:cs="Calibri"/>
          <w:color w:val="000000" w:themeColor="text1"/>
          <w:sz w:val="22"/>
          <w:szCs w:val="22"/>
          <w:lang w:val="en-GB"/>
        </w:rPr>
        <w:t xml:space="preserve"> framework includes several other indicators very relevant to the objectives of 2 /CMA.5 Decision para 9. A number of these indicators have been suggested by multiple organisations and in some cases broken down to smaller indicators to track </w:t>
      </w:r>
      <w:proofErr w:type="spellStart"/>
      <w:r w:rsidRPr="56D04366">
        <w:rPr>
          <w:rFonts w:ascii="Calibri" w:eastAsia="Calibri" w:hAnsi="Calibri" w:cs="Calibri"/>
          <w:color w:val="000000" w:themeColor="text1"/>
          <w:sz w:val="22"/>
          <w:szCs w:val="22"/>
          <w:lang w:val="en-GB"/>
        </w:rPr>
        <w:t>e.g</w:t>
      </w:r>
      <w:proofErr w:type="spellEnd"/>
      <w:r w:rsidRPr="56D04366">
        <w:rPr>
          <w:rFonts w:ascii="Calibri" w:eastAsia="Calibri" w:hAnsi="Calibri" w:cs="Calibri"/>
          <w:color w:val="000000" w:themeColor="text1"/>
          <w:sz w:val="22"/>
          <w:szCs w:val="22"/>
          <w:lang w:val="en-GB"/>
        </w:rPr>
        <w:t xml:space="preserve"> ‘Sustainable Management of heritage’ (ID 4875) since the UNESCO methodology proposes a checklist of qualitative </w:t>
      </w:r>
      <w:r w:rsidRPr="56D04366">
        <w:rPr>
          <w:rFonts w:ascii="Calibri" w:eastAsia="Calibri" w:hAnsi="Calibri" w:cs="Calibri"/>
          <w:color w:val="000000" w:themeColor="text1"/>
          <w:sz w:val="22"/>
          <w:szCs w:val="22"/>
          <w:lang w:val="en-GB"/>
        </w:rPr>
        <w:lastRenderedPageBreak/>
        <w:t xml:space="preserve">indicators where data has already </w:t>
      </w:r>
      <w:proofErr w:type="gramStart"/>
      <w:r w:rsidRPr="56D04366">
        <w:rPr>
          <w:rFonts w:ascii="Calibri" w:eastAsia="Calibri" w:hAnsi="Calibri" w:cs="Calibri"/>
          <w:color w:val="000000" w:themeColor="text1"/>
          <w:sz w:val="22"/>
          <w:szCs w:val="22"/>
          <w:lang w:val="en-GB"/>
        </w:rPr>
        <w:t>being</w:t>
      </w:r>
      <w:proofErr w:type="gramEnd"/>
      <w:r w:rsidRPr="56D04366">
        <w:rPr>
          <w:rFonts w:ascii="Calibri" w:eastAsia="Calibri" w:hAnsi="Calibri" w:cs="Calibri"/>
          <w:color w:val="000000" w:themeColor="text1"/>
          <w:sz w:val="22"/>
          <w:szCs w:val="22"/>
          <w:lang w:val="en-GB"/>
        </w:rPr>
        <w:t xml:space="preserve"> gathered globally. The Expert Group would need to look at all these inter-related indicators in detail to ensure coherence and enable global tracking. </w:t>
      </w:r>
    </w:p>
    <w:p w14:paraId="118D5082" w14:textId="6DD6F574" w:rsidR="56D04366" w:rsidRDefault="56D04366" w:rsidP="56D04366">
      <w:pPr>
        <w:pStyle w:val="ListParagraph"/>
        <w:spacing w:line="257" w:lineRule="auto"/>
        <w:ind w:left="1080"/>
        <w:rPr>
          <w:rFonts w:ascii="Calibri" w:eastAsia="Calibri" w:hAnsi="Calibri" w:cs="Calibri"/>
          <w:color w:val="000000" w:themeColor="text1"/>
          <w:sz w:val="22"/>
          <w:szCs w:val="22"/>
          <w:lang w:val="en-GB"/>
        </w:rPr>
      </w:pPr>
    </w:p>
    <w:p w14:paraId="604230DE" w14:textId="483F586B" w:rsidR="56D04366" w:rsidRDefault="56D04366" w:rsidP="56D04366">
      <w:pPr>
        <w:pStyle w:val="ListParagraph"/>
        <w:spacing w:line="257" w:lineRule="auto"/>
        <w:ind w:left="1080"/>
        <w:rPr>
          <w:rFonts w:ascii="Calibri" w:eastAsia="Calibri" w:hAnsi="Calibri" w:cs="Calibri"/>
          <w:color w:val="000000" w:themeColor="text1"/>
          <w:sz w:val="22"/>
          <w:szCs w:val="22"/>
          <w:lang w:val="en-GB"/>
        </w:rPr>
      </w:pPr>
      <w:r w:rsidRPr="56D04366">
        <w:rPr>
          <w:rFonts w:ascii="Calibri" w:eastAsia="Calibri" w:hAnsi="Calibri" w:cs="Calibri"/>
          <w:color w:val="000000" w:themeColor="text1"/>
          <w:sz w:val="22"/>
          <w:szCs w:val="22"/>
          <w:lang w:val="en-GB"/>
        </w:rPr>
        <w:t xml:space="preserve">Other ‘Yes’ indicators included indicators that referenced Indigenous knowledge and Youth (ID 3197) in relation to cultural heritage, and indicators that imply potential </w:t>
      </w:r>
      <w:r w:rsidRPr="56D04366">
        <w:rPr>
          <w:rFonts w:ascii="Calibri" w:eastAsia="Calibri" w:hAnsi="Calibri" w:cs="Calibri"/>
          <w:i/>
          <w:iCs/>
          <w:color w:val="000000" w:themeColor="text1"/>
          <w:sz w:val="22"/>
          <w:szCs w:val="22"/>
          <w:lang w:val="en-GB"/>
        </w:rPr>
        <w:t xml:space="preserve">increases </w:t>
      </w:r>
      <w:r w:rsidRPr="56D04366">
        <w:rPr>
          <w:rFonts w:ascii="Calibri" w:eastAsia="Calibri" w:hAnsi="Calibri" w:cs="Calibri"/>
          <w:color w:val="000000" w:themeColor="text1"/>
          <w:sz w:val="22"/>
          <w:szCs w:val="22"/>
          <w:lang w:val="en-GB"/>
        </w:rPr>
        <w:t xml:space="preserve">in vulnerability and </w:t>
      </w:r>
      <w:r w:rsidRPr="56D04366">
        <w:rPr>
          <w:rFonts w:ascii="Calibri" w:eastAsia="Calibri" w:hAnsi="Calibri" w:cs="Calibri"/>
          <w:i/>
          <w:iCs/>
          <w:color w:val="000000" w:themeColor="text1"/>
          <w:sz w:val="22"/>
          <w:szCs w:val="22"/>
          <w:lang w:val="en-GB"/>
        </w:rPr>
        <w:t>reduced</w:t>
      </w:r>
      <w:r w:rsidRPr="56D04366">
        <w:rPr>
          <w:rFonts w:ascii="Calibri" w:eastAsia="Calibri" w:hAnsi="Calibri" w:cs="Calibri"/>
          <w:color w:val="000000" w:themeColor="text1"/>
          <w:sz w:val="22"/>
          <w:szCs w:val="22"/>
          <w:lang w:val="en-GB"/>
        </w:rPr>
        <w:t xml:space="preserve"> resilience and adaptive capacity of cultural heritage (</w:t>
      </w:r>
      <w:proofErr w:type="spellStart"/>
      <w:r w:rsidRPr="56D04366">
        <w:rPr>
          <w:rFonts w:ascii="Calibri" w:eastAsia="Calibri" w:hAnsi="Calibri" w:cs="Calibri"/>
          <w:color w:val="000000" w:themeColor="text1"/>
          <w:sz w:val="22"/>
          <w:szCs w:val="22"/>
          <w:lang w:val="en-GB"/>
        </w:rPr>
        <w:t>e.g</w:t>
      </w:r>
      <w:proofErr w:type="spellEnd"/>
      <w:r w:rsidRPr="56D04366">
        <w:rPr>
          <w:rFonts w:ascii="Calibri" w:eastAsia="Calibri" w:hAnsi="Calibri" w:cs="Calibri"/>
          <w:color w:val="000000" w:themeColor="text1"/>
          <w:sz w:val="22"/>
          <w:szCs w:val="22"/>
          <w:lang w:val="en-GB"/>
        </w:rPr>
        <w:t xml:space="preserve"> ‘Damages to or losses of ecosystems and infrastructure that are considered cultural heritage caused by climate-related hazards’, ID 3304). </w:t>
      </w:r>
    </w:p>
    <w:p w14:paraId="678A1863" w14:textId="1596DD07" w:rsidR="56D04366" w:rsidRDefault="56D04366" w:rsidP="56D04366">
      <w:pPr>
        <w:pStyle w:val="ListParagraph"/>
        <w:spacing w:line="257" w:lineRule="auto"/>
        <w:ind w:left="1080"/>
        <w:rPr>
          <w:rFonts w:ascii="Calibri" w:eastAsia="Calibri" w:hAnsi="Calibri" w:cs="Calibri"/>
          <w:color w:val="000000" w:themeColor="text1"/>
          <w:sz w:val="22"/>
          <w:szCs w:val="22"/>
          <w:lang w:val="en-GB"/>
        </w:rPr>
      </w:pPr>
    </w:p>
    <w:p w14:paraId="6BFB48EA" w14:textId="4A77F662" w:rsidR="004914E9" w:rsidRDefault="004914E9" w:rsidP="543570C0">
      <w:pPr>
        <w:pStyle w:val="ListParagraph"/>
        <w:spacing w:line="257" w:lineRule="auto"/>
        <w:ind w:left="1440" w:hanging="360"/>
        <w:rPr>
          <w:rFonts w:ascii="Calibri" w:eastAsia="Calibri" w:hAnsi="Calibri" w:cs="Calibri"/>
          <w:sz w:val="22"/>
          <w:szCs w:val="22"/>
          <w:lang w:val="en-GB"/>
        </w:rPr>
      </w:pPr>
    </w:p>
    <w:p w14:paraId="612F9C2B" w14:textId="6B57F7CD" w:rsidR="004914E9" w:rsidRDefault="543570C0" w:rsidP="543570C0">
      <w:pPr>
        <w:pStyle w:val="ListParagraph"/>
        <w:numPr>
          <w:ilvl w:val="1"/>
          <w:numId w:val="5"/>
        </w:numPr>
        <w:spacing w:line="257" w:lineRule="auto"/>
        <w:rPr>
          <w:rFonts w:ascii="Calibri" w:eastAsia="Calibri" w:hAnsi="Calibri" w:cs="Calibri"/>
          <w:b/>
          <w:bCs/>
          <w:sz w:val="22"/>
          <w:szCs w:val="22"/>
          <w:u w:val="single"/>
          <w:lang w:val="en-GB"/>
        </w:rPr>
      </w:pPr>
      <w:r w:rsidRPr="543570C0">
        <w:rPr>
          <w:rFonts w:ascii="Calibri" w:eastAsia="Calibri" w:hAnsi="Calibri" w:cs="Calibri"/>
          <w:b/>
          <w:bCs/>
          <w:sz w:val="22"/>
          <w:szCs w:val="22"/>
          <w:u w:val="single"/>
          <w:lang w:val="en-GB"/>
        </w:rPr>
        <w:t xml:space="preserve">Common reasons for ‘No’: </w:t>
      </w:r>
    </w:p>
    <w:p w14:paraId="6DDEF87D" w14:textId="5BC500FB" w:rsidR="004914E9" w:rsidRDefault="543570C0" w:rsidP="543570C0">
      <w:pPr>
        <w:pStyle w:val="ListParagraph"/>
        <w:numPr>
          <w:ilvl w:val="0"/>
          <w:numId w:val="5"/>
        </w:numPr>
        <w:spacing w:line="257" w:lineRule="auto"/>
        <w:rPr>
          <w:rFonts w:ascii="Calibri" w:eastAsia="Calibri" w:hAnsi="Calibri" w:cs="Calibri"/>
          <w:sz w:val="22"/>
          <w:szCs w:val="22"/>
          <w:lang w:val="en-US"/>
        </w:rPr>
      </w:pPr>
      <w:r w:rsidRPr="543570C0">
        <w:rPr>
          <w:rFonts w:ascii="Calibri" w:eastAsia="Calibri" w:hAnsi="Calibri" w:cs="Calibri"/>
          <w:sz w:val="22"/>
          <w:szCs w:val="22"/>
          <w:u w:val="single"/>
          <w:lang w:val="en"/>
        </w:rPr>
        <w:t>Too broad</w:t>
      </w:r>
      <w:r w:rsidRPr="543570C0">
        <w:rPr>
          <w:rFonts w:ascii="Calibri" w:eastAsia="Calibri" w:hAnsi="Calibri" w:cs="Calibri"/>
          <w:sz w:val="22"/>
          <w:szCs w:val="22"/>
          <w:lang w:val="en"/>
        </w:rPr>
        <w:t xml:space="preserve"> - some indicators are measuring worldwide climate impacts </w:t>
      </w:r>
      <w:proofErr w:type="spellStart"/>
      <w:r w:rsidRPr="543570C0">
        <w:rPr>
          <w:rFonts w:ascii="Calibri" w:eastAsia="Calibri" w:hAnsi="Calibri" w:cs="Calibri"/>
          <w:sz w:val="22"/>
          <w:szCs w:val="22"/>
          <w:lang w:val="en"/>
        </w:rPr>
        <w:t>e.g</w:t>
      </w:r>
      <w:proofErr w:type="spellEnd"/>
      <w:r w:rsidRPr="543570C0">
        <w:rPr>
          <w:rFonts w:ascii="Calibri" w:eastAsia="Calibri" w:hAnsi="Calibri" w:cs="Calibri"/>
          <w:sz w:val="22"/>
          <w:szCs w:val="22"/>
          <w:lang w:val="en"/>
        </w:rPr>
        <w:t xml:space="preserve"> ‘</w:t>
      </w:r>
      <w:r w:rsidRPr="543570C0">
        <w:rPr>
          <w:rFonts w:ascii="Calibri" w:eastAsia="Calibri" w:hAnsi="Calibri" w:cs="Calibri"/>
          <w:color w:val="000000" w:themeColor="text1"/>
          <w:sz w:val="22"/>
          <w:szCs w:val="22"/>
          <w:lang w:val="en"/>
        </w:rPr>
        <w:t>Land surface temperature’ (ID 1405)</w:t>
      </w:r>
      <w:r w:rsidRPr="543570C0">
        <w:rPr>
          <w:rFonts w:ascii="Calibri" w:eastAsia="Calibri" w:hAnsi="Calibri" w:cs="Calibri"/>
          <w:sz w:val="22"/>
          <w:szCs w:val="22"/>
          <w:lang w:val="en"/>
        </w:rPr>
        <w:t xml:space="preserve">, which does have implications for </w:t>
      </w:r>
      <w:proofErr w:type="gramStart"/>
      <w:r w:rsidRPr="543570C0">
        <w:rPr>
          <w:rFonts w:ascii="Calibri" w:eastAsia="Calibri" w:hAnsi="Calibri" w:cs="Calibri"/>
          <w:sz w:val="22"/>
          <w:szCs w:val="22"/>
          <w:lang w:val="en"/>
        </w:rPr>
        <w:t>CH</w:t>
      </w:r>
      <w:proofErr w:type="gramEnd"/>
      <w:r w:rsidRPr="543570C0">
        <w:rPr>
          <w:rFonts w:ascii="Calibri" w:eastAsia="Calibri" w:hAnsi="Calibri" w:cs="Calibri"/>
          <w:sz w:val="22"/>
          <w:szCs w:val="22"/>
          <w:lang w:val="en"/>
        </w:rPr>
        <w:t xml:space="preserve"> but this is hard to measure unless such indicators are adjusted to be CH specific. </w:t>
      </w:r>
    </w:p>
    <w:p w14:paraId="7D1DB605" w14:textId="37C82306" w:rsidR="004914E9" w:rsidRDefault="56D04366" w:rsidP="543570C0">
      <w:pPr>
        <w:pStyle w:val="ListParagraph"/>
        <w:numPr>
          <w:ilvl w:val="0"/>
          <w:numId w:val="5"/>
        </w:numPr>
        <w:spacing w:line="257" w:lineRule="auto"/>
        <w:rPr>
          <w:rFonts w:ascii="Calibri" w:eastAsia="Calibri" w:hAnsi="Calibri" w:cs="Calibri"/>
          <w:color w:val="000000" w:themeColor="text1"/>
          <w:sz w:val="22"/>
          <w:szCs w:val="22"/>
          <w:lang w:val="en-US"/>
        </w:rPr>
      </w:pPr>
      <w:r w:rsidRPr="56D04366">
        <w:rPr>
          <w:rFonts w:ascii="Calibri" w:eastAsia="Calibri" w:hAnsi="Calibri" w:cs="Calibri"/>
          <w:sz w:val="22"/>
          <w:szCs w:val="22"/>
          <w:u w:val="single"/>
          <w:lang w:val="en-US"/>
        </w:rPr>
        <w:t>Unclear definition and scope</w:t>
      </w:r>
      <w:r w:rsidRPr="56D04366">
        <w:rPr>
          <w:rFonts w:ascii="Calibri" w:eastAsia="Calibri" w:hAnsi="Calibri" w:cs="Calibri"/>
          <w:sz w:val="22"/>
          <w:szCs w:val="22"/>
          <w:lang w:val="en-US"/>
        </w:rPr>
        <w:t xml:space="preserve"> - some indicators are not clearly defined </w:t>
      </w:r>
      <w:proofErr w:type="spellStart"/>
      <w:r w:rsidRPr="56D04366">
        <w:rPr>
          <w:rFonts w:ascii="Calibri" w:eastAsia="Calibri" w:hAnsi="Calibri" w:cs="Calibri"/>
          <w:sz w:val="22"/>
          <w:szCs w:val="22"/>
          <w:lang w:val="en-US"/>
        </w:rPr>
        <w:t>e.g</w:t>
      </w:r>
      <w:proofErr w:type="spellEnd"/>
      <w:r w:rsidRPr="56D04366">
        <w:rPr>
          <w:rFonts w:ascii="Calibri" w:eastAsia="Calibri" w:hAnsi="Calibri" w:cs="Calibri"/>
          <w:sz w:val="22"/>
          <w:szCs w:val="22"/>
          <w:lang w:val="en-US"/>
        </w:rPr>
        <w:t xml:space="preserve"> “</w:t>
      </w:r>
      <w:r w:rsidRPr="56D04366">
        <w:rPr>
          <w:rFonts w:ascii="Calibri" w:eastAsia="Calibri" w:hAnsi="Calibri" w:cs="Calibri"/>
          <w:color w:val="000000" w:themeColor="text1"/>
          <w:sz w:val="22"/>
          <w:szCs w:val="22"/>
          <w:lang w:val="en-US"/>
        </w:rPr>
        <w:t xml:space="preserve">Number of cultural practices” (ID 1671) and are unclear in what exactly would be included and how this would enable measuring progress towards adaptation at a global scale. There is often also no information regarding the source of the indicator. Where the overall objectives are in line with the 2/CMA.5 Decision para 9, some experts have put them in the ‘maybe’ category though they would require the formulation of actual indicators as opposed to an overall idea of a goal. </w:t>
      </w:r>
    </w:p>
    <w:p w14:paraId="53D545F5" w14:textId="50FD470E" w:rsidR="004914E9" w:rsidRDefault="56D04366" w:rsidP="543570C0">
      <w:pPr>
        <w:pStyle w:val="ListParagraph"/>
        <w:numPr>
          <w:ilvl w:val="0"/>
          <w:numId w:val="5"/>
        </w:numPr>
        <w:spacing w:line="276" w:lineRule="auto"/>
        <w:rPr>
          <w:rFonts w:ascii="Calibri" w:eastAsia="Calibri" w:hAnsi="Calibri" w:cs="Calibri"/>
          <w:sz w:val="22"/>
          <w:szCs w:val="22"/>
          <w:lang w:val="en-US"/>
        </w:rPr>
      </w:pPr>
      <w:r w:rsidRPr="56D04366">
        <w:rPr>
          <w:rFonts w:ascii="Calibri" w:eastAsia="Calibri" w:hAnsi="Calibri" w:cs="Calibri"/>
          <w:sz w:val="22"/>
          <w:szCs w:val="22"/>
          <w:u w:val="single"/>
          <w:lang w:val="en-US"/>
        </w:rPr>
        <w:t>Potential mis-categorization</w:t>
      </w:r>
      <w:r w:rsidRPr="56D04366">
        <w:rPr>
          <w:rFonts w:ascii="Calibri" w:eastAsia="Calibri" w:hAnsi="Calibri" w:cs="Calibri"/>
          <w:sz w:val="22"/>
          <w:szCs w:val="22"/>
          <w:lang w:val="en-US"/>
        </w:rPr>
        <w:t xml:space="preserve"> - some indicators do not appear relevant to cultural heritage; these might have been marked to CH by mistake. </w:t>
      </w:r>
    </w:p>
    <w:p w14:paraId="4E5CC8E7" w14:textId="7B21824B" w:rsidR="56D04366" w:rsidRDefault="56D04366" w:rsidP="56D04366">
      <w:pPr>
        <w:pStyle w:val="ListParagraph"/>
        <w:numPr>
          <w:ilvl w:val="0"/>
          <w:numId w:val="5"/>
        </w:numPr>
        <w:spacing w:line="276" w:lineRule="auto"/>
        <w:rPr>
          <w:rFonts w:ascii="Calibri" w:eastAsia="Calibri" w:hAnsi="Calibri" w:cs="Calibri"/>
          <w:sz w:val="22"/>
          <w:szCs w:val="22"/>
        </w:rPr>
      </w:pPr>
      <w:r w:rsidRPr="56D04366">
        <w:rPr>
          <w:rFonts w:ascii="Calibri" w:eastAsia="Calibri" w:hAnsi="Calibri" w:cs="Calibri"/>
          <w:sz w:val="22"/>
          <w:szCs w:val="22"/>
        </w:rPr>
        <w:t xml:space="preserve">Some indicators are about risk and impact of climate change but not indicators to measure the progress or adaptation strategies. These are likely relevant however across thematic and dimensional targets and should be looked at more broadly. </w:t>
      </w:r>
    </w:p>
    <w:p w14:paraId="74A2F3C4" w14:textId="29B86EC3" w:rsidR="004914E9" w:rsidRDefault="004914E9" w:rsidP="543570C0">
      <w:pPr>
        <w:pStyle w:val="ListParagraph"/>
        <w:spacing w:line="257" w:lineRule="auto"/>
        <w:ind w:left="1440" w:hanging="360"/>
        <w:rPr>
          <w:rFonts w:ascii="Calibri" w:eastAsia="Calibri" w:hAnsi="Calibri" w:cs="Calibri"/>
          <w:sz w:val="22"/>
          <w:szCs w:val="22"/>
          <w:lang w:val="en-GB"/>
        </w:rPr>
      </w:pPr>
    </w:p>
    <w:p w14:paraId="57D818C1" w14:textId="365E53E1" w:rsidR="004914E9" w:rsidRDefault="543570C0" w:rsidP="543570C0">
      <w:pPr>
        <w:pStyle w:val="ListParagraph"/>
        <w:numPr>
          <w:ilvl w:val="1"/>
          <w:numId w:val="5"/>
        </w:numPr>
        <w:spacing w:line="257" w:lineRule="auto"/>
        <w:rPr>
          <w:rFonts w:ascii="Calibri" w:eastAsia="Calibri" w:hAnsi="Calibri" w:cs="Calibri"/>
          <w:b/>
          <w:bCs/>
          <w:sz w:val="22"/>
          <w:szCs w:val="22"/>
          <w:u w:val="single"/>
          <w:lang w:val="en-GB"/>
        </w:rPr>
      </w:pPr>
      <w:r w:rsidRPr="543570C0">
        <w:rPr>
          <w:rFonts w:ascii="Calibri" w:eastAsia="Calibri" w:hAnsi="Calibri" w:cs="Calibri"/>
          <w:b/>
          <w:bCs/>
          <w:sz w:val="22"/>
          <w:szCs w:val="22"/>
          <w:u w:val="single"/>
          <w:lang w:val="en-GB"/>
        </w:rPr>
        <w:t>Common Reasons for ‘Maybe’</w:t>
      </w:r>
    </w:p>
    <w:p w14:paraId="74BAF6A9" w14:textId="17DC18FA" w:rsidR="004914E9" w:rsidRDefault="543570C0" w:rsidP="543570C0">
      <w:pPr>
        <w:pStyle w:val="ListParagraph"/>
        <w:numPr>
          <w:ilvl w:val="0"/>
          <w:numId w:val="5"/>
        </w:numPr>
        <w:spacing w:line="276" w:lineRule="auto"/>
        <w:rPr>
          <w:rFonts w:ascii="Calibri" w:eastAsia="Calibri" w:hAnsi="Calibri" w:cs="Calibri"/>
          <w:sz w:val="22"/>
          <w:szCs w:val="22"/>
          <w:lang w:val="en-US"/>
        </w:rPr>
      </w:pPr>
      <w:r w:rsidRPr="543570C0">
        <w:rPr>
          <w:rFonts w:ascii="Calibri" w:eastAsia="Calibri" w:hAnsi="Calibri" w:cs="Calibri"/>
          <w:sz w:val="22"/>
          <w:szCs w:val="22"/>
          <w:u w:val="single"/>
          <w:lang w:val="en-US"/>
        </w:rPr>
        <w:t>Indicator would need adjustments</w:t>
      </w:r>
      <w:r w:rsidRPr="543570C0">
        <w:rPr>
          <w:rFonts w:ascii="Calibri" w:eastAsia="Calibri" w:hAnsi="Calibri" w:cs="Calibri"/>
          <w:sz w:val="22"/>
          <w:szCs w:val="22"/>
          <w:lang w:val="en-US"/>
        </w:rPr>
        <w:t xml:space="preserve"> - Indicators are generally relevant to cultural heritage and adaptation, however it would require some adjustments to more easily measure and track </w:t>
      </w:r>
      <w:proofErr w:type="gramStart"/>
      <w:r w:rsidRPr="543570C0">
        <w:rPr>
          <w:rFonts w:ascii="Calibri" w:eastAsia="Calibri" w:hAnsi="Calibri" w:cs="Calibri"/>
          <w:sz w:val="22"/>
          <w:szCs w:val="22"/>
          <w:lang w:val="en-US"/>
        </w:rPr>
        <w:t>progress  For</w:t>
      </w:r>
      <w:proofErr w:type="gramEnd"/>
      <w:r w:rsidRPr="543570C0">
        <w:rPr>
          <w:rFonts w:ascii="Calibri" w:eastAsia="Calibri" w:hAnsi="Calibri" w:cs="Calibri"/>
          <w:sz w:val="22"/>
          <w:szCs w:val="22"/>
          <w:lang w:val="en-US"/>
        </w:rPr>
        <w:t xml:space="preserve"> example, ‘</w:t>
      </w:r>
      <w:r w:rsidRPr="543570C0">
        <w:rPr>
          <w:rFonts w:ascii="Calibri" w:eastAsia="Calibri" w:hAnsi="Calibri" w:cs="Calibri"/>
          <w:color w:val="000000" w:themeColor="text1"/>
          <w:sz w:val="22"/>
          <w:szCs w:val="22"/>
          <w:lang w:val="en-US"/>
        </w:rPr>
        <w:t>Number of monuments’ (ID 1548) could give some baseline information on cultural heritage (physical assets) but would need to be connected to the 3 elements of GGA or more specifically adaptation of cultural heritage (monuments).</w:t>
      </w:r>
    </w:p>
    <w:p w14:paraId="21DA7230" w14:textId="59735564" w:rsidR="004914E9" w:rsidRDefault="56D04366" w:rsidP="543570C0">
      <w:pPr>
        <w:pStyle w:val="ListParagraph"/>
        <w:numPr>
          <w:ilvl w:val="0"/>
          <w:numId w:val="5"/>
        </w:numPr>
        <w:spacing w:line="276" w:lineRule="auto"/>
        <w:rPr>
          <w:rFonts w:ascii="Calibri" w:eastAsia="Calibri" w:hAnsi="Calibri" w:cs="Calibri"/>
          <w:sz w:val="22"/>
          <w:szCs w:val="22"/>
          <w:lang w:val="en-US"/>
        </w:rPr>
      </w:pPr>
      <w:r w:rsidRPr="56D04366">
        <w:rPr>
          <w:rFonts w:ascii="Calibri" w:eastAsia="Calibri" w:hAnsi="Calibri" w:cs="Calibri"/>
          <w:sz w:val="22"/>
          <w:szCs w:val="22"/>
          <w:u w:val="single"/>
          <w:lang w:val="en-US"/>
        </w:rPr>
        <w:t>Partially clear definition</w:t>
      </w:r>
      <w:r w:rsidRPr="56D04366">
        <w:rPr>
          <w:rFonts w:ascii="Calibri" w:eastAsia="Calibri" w:hAnsi="Calibri" w:cs="Calibri"/>
          <w:sz w:val="22"/>
          <w:szCs w:val="22"/>
          <w:lang w:val="en-US"/>
        </w:rPr>
        <w:t xml:space="preserve"> - Indicators are generally relevant to cultural heritage, however the descriptions are not clear enough in terms of measurement/metric used, the underlying relevance to adaptation, or would require very clear assessment and monitoring guidance for certain concepts. For example, ‘</w:t>
      </w:r>
      <w:r w:rsidRPr="56D04366">
        <w:rPr>
          <w:rFonts w:ascii="Calibri" w:eastAsia="Calibri" w:hAnsi="Calibri" w:cs="Calibri"/>
          <w:color w:val="000000" w:themeColor="text1"/>
          <w:sz w:val="22"/>
          <w:szCs w:val="22"/>
          <w:lang w:val="en-US"/>
        </w:rPr>
        <w:t xml:space="preserve">Traditional knowledge and practices index’ (ID 1555) could be a proxy on inclusivity of Indigenous knowledge in adaptation and specifically align with GGA's increasing adaptive capacity component. This is likely a qualitative indicator or it could be quantified by </w:t>
      </w:r>
      <w:proofErr w:type="spellStart"/>
      <w:r w:rsidRPr="56D04366">
        <w:rPr>
          <w:rFonts w:ascii="Calibri" w:eastAsia="Calibri" w:hAnsi="Calibri" w:cs="Calibri"/>
          <w:color w:val="000000" w:themeColor="text1"/>
          <w:sz w:val="22"/>
          <w:szCs w:val="22"/>
          <w:lang w:val="en-US"/>
        </w:rPr>
        <w:t>eg</w:t>
      </w:r>
      <w:proofErr w:type="spellEnd"/>
      <w:r w:rsidRPr="56D04366">
        <w:rPr>
          <w:rFonts w:ascii="Calibri" w:eastAsia="Calibri" w:hAnsi="Calibri" w:cs="Calibri"/>
          <w:color w:val="000000" w:themeColor="text1"/>
          <w:sz w:val="22"/>
          <w:szCs w:val="22"/>
          <w:lang w:val="en-US"/>
        </w:rPr>
        <w:t xml:space="preserve"> number of plans/strategies that mention traditional/indigenous knowledge.</w:t>
      </w:r>
    </w:p>
    <w:p w14:paraId="4F9B78D1" w14:textId="66E88116" w:rsidR="56D04366" w:rsidRDefault="56D04366" w:rsidP="56D04366">
      <w:pPr>
        <w:pStyle w:val="ListParagraph"/>
        <w:numPr>
          <w:ilvl w:val="0"/>
          <w:numId w:val="5"/>
        </w:numPr>
        <w:spacing w:line="276" w:lineRule="auto"/>
        <w:rPr>
          <w:rFonts w:ascii="Calibri" w:eastAsia="Calibri" w:hAnsi="Calibri" w:cs="Calibri"/>
          <w:sz w:val="22"/>
          <w:szCs w:val="22"/>
          <w:lang w:val="en-US"/>
        </w:rPr>
      </w:pPr>
      <w:r w:rsidRPr="56D04366">
        <w:rPr>
          <w:rFonts w:ascii="Calibri" w:eastAsia="Calibri" w:hAnsi="Calibri" w:cs="Calibri"/>
          <w:color w:val="000000" w:themeColor="text1"/>
          <w:sz w:val="22"/>
          <w:szCs w:val="22"/>
          <w:lang w:val="en-US"/>
        </w:rPr>
        <w:t xml:space="preserve">Some indicators were not agreed by all experts. For example, ‘Existence and implementation of inclusive, </w:t>
      </w:r>
      <w:proofErr w:type="gramStart"/>
      <w:r w:rsidRPr="56D04366">
        <w:rPr>
          <w:rFonts w:ascii="Calibri" w:eastAsia="Calibri" w:hAnsi="Calibri" w:cs="Calibri"/>
          <w:color w:val="000000" w:themeColor="text1"/>
          <w:sz w:val="22"/>
          <w:szCs w:val="22"/>
          <w:lang w:val="en-US"/>
        </w:rPr>
        <w:t>locally-led</w:t>
      </w:r>
      <w:proofErr w:type="gramEnd"/>
      <w:r w:rsidRPr="56D04366">
        <w:rPr>
          <w:rFonts w:ascii="Calibri" w:eastAsia="Calibri" w:hAnsi="Calibri" w:cs="Calibri"/>
          <w:color w:val="000000" w:themeColor="text1"/>
          <w:sz w:val="22"/>
          <w:szCs w:val="22"/>
          <w:lang w:val="en-US"/>
        </w:rPr>
        <w:t xml:space="preserve"> processes for identifying/inventorying cultural practices/values and heritage </w:t>
      </w:r>
      <w:r w:rsidRPr="56D04366">
        <w:rPr>
          <w:rFonts w:ascii="Calibri" w:eastAsia="Calibri" w:hAnsi="Calibri" w:cs="Calibri"/>
          <w:color w:val="000000" w:themeColor="text1"/>
          <w:sz w:val="22"/>
          <w:szCs w:val="22"/>
          <w:lang w:val="en-US"/>
        </w:rPr>
        <w:lastRenderedPageBreak/>
        <w:t xml:space="preserve">sites’ (ID 4929) was ‘Yes’ for some but ‘Maybe’ for others given that these types of processes were seen as occurring before climate adaptation is taking place. </w:t>
      </w:r>
    </w:p>
    <w:p w14:paraId="274CC839" w14:textId="0F2527EF" w:rsidR="004914E9" w:rsidRDefault="004914E9" w:rsidP="543570C0">
      <w:pPr>
        <w:pStyle w:val="ListParagraph"/>
        <w:spacing w:line="257" w:lineRule="auto"/>
        <w:ind w:left="1440" w:hanging="360"/>
        <w:rPr>
          <w:rFonts w:ascii="Calibri" w:eastAsia="Calibri" w:hAnsi="Calibri" w:cs="Calibri"/>
          <w:b/>
          <w:bCs/>
          <w:sz w:val="22"/>
          <w:szCs w:val="22"/>
          <w:u w:val="single"/>
          <w:lang w:val="en-GB"/>
        </w:rPr>
      </w:pPr>
    </w:p>
    <w:p w14:paraId="1C765759" w14:textId="63E458AC" w:rsidR="004914E9" w:rsidRDefault="543570C0" w:rsidP="543570C0">
      <w:pPr>
        <w:spacing w:line="235" w:lineRule="auto"/>
        <w:ind w:left="1440"/>
      </w:pPr>
      <w:r w:rsidRPr="543570C0">
        <w:rPr>
          <w:rFonts w:ascii="Calibri" w:eastAsia="Calibri" w:hAnsi="Calibri" w:cs="Calibri"/>
          <w:color w:val="000000" w:themeColor="text1"/>
          <w:sz w:val="22"/>
          <w:szCs w:val="22"/>
          <w:lang w:val="en-GB"/>
        </w:rPr>
        <w:t xml:space="preserve"> </w:t>
      </w:r>
    </w:p>
    <w:p w14:paraId="2D4AE8B1" w14:textId="76097CD0" w:rsidR="004914E9" w:rsidRDefault="543570C0" w:rsidP="543570C0">
      <w:pPr>
        <w:pStyle w:val="ListParagraph"/>
        <w:numPr>
          <w:ilvl w:val="0"/>
          <w:numId w:val="5"/>
        </w:numPr>
        <w:spacing w:line="257" w:lineRule="auto"/>
        <w:rPr>
          <w:rFonts w:ascii="Calibri" w:eastAsia="Calibri" w:hAnsi="Calibri" w:cs="Calibri"/>
          <w:b/>
          <w:bCs/>
          <w:sz w:val="22"/>
          <w:szCs w:val="22"/>
          <w:lang w:val="en-GB"/>
        </w:rPr>
      </w:pPr>
      <w:r w:rsidRPr="543570C0">
        <w:rPr>
          <w:rFonts w:ascii="Calibri" w:eastAsia="Calibri" w:hAnsi="Calibri" w:cs="Calibri"/>
          <w:b/>
          <w:bCs/>
          <w:sz w:val="22"/>
          <w:szCs w:val="22"/>
          <w:lang w:val="en-GB"/>
        </w:rPr>
        <w:t>Insights on cross-cutting nature of the target, as well as links between thematic and dimensional targets, including examples</w:t>
      </w:r>
    </w:p>
    <w:p w14:paraId="6743F856" w14:textId="39F884BD" w:rsidR="004914E9" w:rsidRDefault="56D04366" w:rsidP="543570C0">
      <w:pPr>
        <w:pStyle w:val="ListParagraph"/>
        <w:numPr>
          <w:ilvl w:val="1"/>
          <w:numId w:val="5"/>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Some indicators for CH are broad and would better sit with other targets. For example, ‘</w:t>
      </w:r>
      <w:r w:rsidRPr="56D04366">
        <w:rPr>
          <w:rFonts w:ascii="Calibri" w:eastAsia="Calibri" w:hAnsi="Calibri" w:cs="Calibri"/>
          <w:color w:val="000000" w:themeColor="text1"/>
          <w:sz w:val="22"/>
          <w:szCs w:val="22"/>
          <w:lang w:val="en-GB"/>
        </w:rPr>
        <w:t>Ecosystems relevant for cultural heritage protected from climate change impacts’ (ID 3303) is defined very broadly and would be better under Ecosystem protection indicators in the Ecosystem Target. It can also be interpreted as an objective or overall goal and could be put under ‘maybe’.</w:t>
      </w:r>
    </w:p>
    <w:p w14:paraId="6AE1922B" w14:textId="3B938507" w:rsidR="004914E9" w:rsidRDefault="56D04366" w:rsidP="543570C0">
      <w:pPr>
        <w:pStyle w:val="ListParagraph"/>
        <w:numPr>
          <w:ilvl w:val="1"/>
          <w:numId w:val="5"/>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Similarly, broad targets that mainly note building adaptive capacity for climate adaptation or increasing education and awareness might be better applied under targets in 10 as they are not directly focused on Cultural Heritage when written in broad terms.</w:t>
      </w:r>
    </w:p>
    <w:p w14:paraId="0BD64C30" w14:textId="1A3BE1FF" w:rsidR="004914E9" w:rsidRDefault="56D04366" w:rsidP="56D04366">
      <w:pPr>
        <w:spacing w:line="235" w:lineRule="auto"/>
        <w:ind w:left="1440"/>
        <w:rPr>
          <w:rFonts w:ascii="Calibri" w:eastAsia="Calibri" w:hAnsi="Calibri" w:cs="Calibri"/>
          <w:color w:val="000000" w:themeColor="text1"/>
          <w:sz w:val="22"/>
          <w:szCs w:val="22"/>
          <w:lang w:val="en-GB"/>
        </w:rPr>
      </w:pPr>
      <w:r w:rsidRPr="56D04366">
        <w:rPr>
          <w:rFonts w:ascii="Calibri" w:eastAsia="Calibri" w:hAnsi="Calibri" w:cs="Calibri"/>
          <w:color w:val="000000" w:themeColor="text1"/>
          <w:sz w:val="22"/>
          <w:szCs w:val="22"/>
          <w:lang w:val="en-GB"/>
        </w:rPr>
        <w:t xml:space="preserve"> </w:t>
      </w:r>
    </w:p>
    <w:p w14:paraId="04821E8E" w14:textId="60FB68EE" w:rsidR="004914E9" w:rsidRDefault="56D04366" w:rsidP="56D04366">
      <w:pPr>
        <w:spacing w:line="235" w:lineRule="auto"/>
        <w:ind w:left="720"/>
      </w:pPr>
      <w:r w:rsidRPr="56D04366">
        <w:rPr>
          <w:rFonts w:ascii="Calibri" w:eastAsia="Calibri" w:hAnsi="Calibri" w:cs="Calibri"/>
          <w:color w:val="000000" w:themeColor="text1"/>
          <w:sz w:val="22"/>
          <w:szCs w:val="22"/>
          <w:lang w:val="en-GB"/>
        </w:rPr>
        <w:t xml:space="preserve"> </w:t>
      </w:r>
    </w:p>
    <w:p w14:paraId="41593E25" w14:textId="3478115D" w:rsidR="004914E9" w:rsidRDefault="56D04366" w:rsidP="543570C0">
      <w:pPr>
        <w:pStyle w:val="ListParagraph"/>
        <w:numPr>
          <w:ilvl w:val="0"/>
          <w:numId w:val="5"/>
        </w:numPr>
        <w:spacing w:line="257" w:lineRule="auto"/>
        <w:rPr>
          <w:rFonts w:ascii="Calibri" w:eastAsia="Calibri" w:hAnsi="Calibri" w:cs="Calibri"/>
          <w:b/>
          <w:bCs/>
          <w:sz w:val="22"/>
          <w:szCs w:val="22"/>
          <w:lang w:val="en-GB"/>
        </w:rPr>
      </w:pPr>
      <w:r w:rsidRPr="56D04366">
        <w:rPr>
          <w:rFonts w:ascii="Calibri" w:eastAsia="Calibri" w:hAnsi="Calibri" w:cs="Calibri"/>
          <w:b/>
          <w:bCs/>
          <w:sz w:val="22"/>
          <w:szCs w:val="22"/>
          <w:lang w:val="en-GB"/>
        </w:rPr>
        <w:t>Suggestions for next steps post-COP and into 2025</w:t>
      </w:r>
    </w:p>
    <w:p w14:paraId="2EF3AE26" w14:textId="20142501" w:rsidR="56D04366" w:rsidRDefault="56D04366" w:rsidP="56D04366">
      <w:pPr>
        <w:pStyle w:val="ListParagraph"/>
        <w:numPr>
          <w:ilvl w:val="1"/>
          <w:numId w:val="5"/>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 xml:space="preserve">CH experts to </w:t>
      </w:r>
      <w:r w:rsidR="00EF350D">
        <w:rPr>
          <w:rFonts w:ascii="Calibri" w:eastAsia="Calibri" w:hAnsi="Calibri" w:cs="Calibri"/>
          <w:sz w:val="22"/>
          <w:szCs w:val="22"/>
          <w:lang w:val="en-GB"/>
        </w:rPr>
        <w:t xml:space="preserve">review all indicators especially in ‘Yes’ and ‘Maybe’ </w:t>
      </w:r>
    </w:p>
    <w:p w14:paraId="05BC1767" w14:textId="04FC25CB" w:rsidR="00EF350D" w:rsidRDefault="00EF350D" w:rsidP="56D04366">
      <w:pPr>
        <w:pStyle w:val="ListParagraph"/>
        <w:numPr>
          <w:ilvl w:val="1"/>
          <w:numId w:val="5"/>
        </w:numPr>
        <w:spacing w:line="257" w:lineRule="auto"/>
        <w:rPr>
          <w:rFonts w:ascii="Calibri" w:eastAsia="Calibri" w:hAnsi="Calibri" w:cs="Calibri"/>
          <w:sz w:val="22"/>
          <w:szCs w:val="22"/>
          <w:lang w:val="en-GB"/>
        </w:rPr>
      </w:pPr>
      <w:r>
        <w:rPr>
          <w:rFonts w:ascii="Calibri" w:eastAsia="Calibri" w:hAnsi="Calibri" w:cs="Calibri"/>
          <w:sz w:val="22"/>
          <w:szCs w:val="22"/>
          <w:lang w:val="en-GB"/>
        </w:rPr>
        <w:t>CH experts to continue identifying gaps and potential new indicators based on gaps</w:t>
      </w:r>
    </w:p>
    <w:p w14:paraId="68D3E590" w14:textId="59AAA832" w:rsidR="004914E9" w:rsidRDefault="543570C0" w:rsidP="543570C0">
      <w:pPr>
        <w:spacing w:line="235" w:lineRule="auto"/>
        <w:ind w:left="1440"/>
      </w:pPr>
      <w:r w:rsidRPr="543570C0">
        <w:rPr>
          <w:rFonts w:ascii="Calibri" w:eastAsia="Calibri" w:hAnsi="Calibri" w:cs="Calibri"/>
          <w:color w:val="000000" w:themeColor="text1"/>
          <w:sz w:val="22"/>
          <w:szCs w:val="22"/>
          <w:lang w:val="en-GB"/>
        </w:rPr>
        <w:t xml:space="preserve"> </w:t>
      </w:r>
    </w:p>
    <w:p w14:paraId="01357353" w14:textId="68BF5C12" w:rsidR="56D04366" w:rsidRDefault="56D04366" w:rsidP="56D04366">
      <w:pPr>
        <w:pStyle w:val="ListParagraph"/>
        <w:numPr>
          <w:ilvl w:val="0"/>
          <w:numId w:val="5"/>
        </w:numPr>
        <w:spacing w:line="257" w:lineRule="auto"/>
        <w:rPr>
          <w:rFonts w:ascii="Calibri" w:eastAsia="Calibri" w:hAnsi="Calibri" w:cs="Calibri"/>
          <w:b/>
          <w:bCs/>
          <w:sz w:val="22"/>
          <w:szCs w:val="22"/>
          <w:lang w:val="en-GB"/>
        </w:rPr>
      </w:pPr>
      <w:r w:rsidRPr="56D04366">
        <w:rPr>
          <w:rFonts w:ascii="Calibri" w:eastAsia="Calibri" w:hAnsi="Calibri" w:cs="Calibri"/>
          <w:b/>
          <w:bCs/>
          <w:sz w:val="22"/>
          <w:szCs w:val="22"/>
          <w:lang w:val="en-GB"/>
        </w:rPr>
        <w:t>Specific questions for Parties to address at COP 29</w:t>
      </w:r>
    </w:p>
    <w:p w14:paraId="5EEEF606" w14:textId="693C6191" w:rsidR="004914E9" w:rsidRDefault="56D04366" w:rsidP="543570C0">
      <w:pPr>
        <w:pStyle w:val="ListParagraph"/>
        <w:numPr>
          <w:ilvl w:val="1"/>
          <w:numId w:val="5"/>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 xml:space="preserve">When could the unclear indicators be re-worded/reformulated by experts? </w:t>
      </w:r>
    </w:p>
    <w:p w14:paraId="50A69397" w14:textId="153CF054" w:rsidR="004914E9" w:rsidRDefault="56D04366" w:rsidP="56D04366">
      <w:pPr>
        <w:pStyle w:val="ListParagraph"/>
        <w:numPr>
          <w:ilvl w:val="0"/>
          <w:numId w:val="2"/>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For a given thematic area, is the objective to have a coherent group of indicators or to simply work through on keeping individual workable ones?</w:t>
      </w:r>
    </w:p>
    <w:p w14:paraId="4AC6BFD4" w14:textId="3CE39F44" w:rsidR="56D04366" w:rsidRDefault="56D04366" w:rsidP="56D04366">
      <w:pPr>
        <w:pStyle w:val="ListParagraph"/>
        <w:numPr>
          <w:ilvl w:val="0"/>
          <w:numId w:val="2"/>
        </w:numPr>
        <w:spacing w:line="257" w:lineRule="auto"/>
        <w:rPr>
          <w:rFonts w:ascii="Calibri" w:eastAsia="Calibri" w:hAnsi="Calibri" w:cs="Calibri"/>
          <w:sz w:val="22"/>
          <w:szCs w:val="22"/>
          <w:lang w:val="en-GB"/>
        </w:rPr>
      </w:pPr>
      <w:r w:rsidRPr="56D04366">
        <w:rPr>
          <w:rFonts w:ascii="Calibri" w:eastAsia="Calibri" w:hAnsi="Calibri" w:cs="Calibri"/>
          <w:sz w:val="22"/>
          <w:szCs w:val="22"/>
          <w:lang w:val="en-GB"/>
        </w:rPr>
        <w:t xml:space="preserve">How many indicators per target would be expected? </w:t>
      </w:r>
    </w:p>
    <w:p w14:paraId="6D39F8E2" w14:textId="77777777" w:rsidR="005D74F5" w:rsidRDefault="005D74F5" w:rsidP="005D74F5">
      <w:pPr>
        <w:spacing w:line="257" w:lineRule="auto"/>
        <w:rPr>
          <w:rFonts w:ascii="Calibri" w:eastAsia="Calibri" w:hAnsi="Calibri" w:cs="Calibri"/>
          <w:sz w:val="22"/>
          <w:szCs w:val="22"/>
          <w:lang w:val="en-GB"/>
        </w:rPr>
      </w:pPr>
    </w:p>
    <w:p w14:paraId="59ED1B56" w14:textId="77777777" w:rsidR="005D74F5" w:rsidRDefault="005D74F5" w:rsidP="005D74F5">
      <w:pPr>
        <w:spacing w:line="257" w:lineRule="auto"/>
        <w:rPr>
          <w:rFonts w:ascii="Calibri" w:eastAsia="Calibri" w:hAnsi="Calibri" w:cs="Calibri"/>
          <w:sz w:val="22"/>
          <w:szCs w:val="22"/>
          <w:lang w:val="en-GB"/>
        </w:rPr>
      </w:pPr>
    </w:p>
    <w:p w14:paraId="7E520BA7" w14:textId="77777777" w:rsidR="00DC5664" w:rsidRDefault="00DC5664" w:rsidP="005D74F5">
      <w:pPr>
        <w:spacing w:line="257" w:lineRule="auto"/>
        <w:rPr>
          <w:rFonts w:ascii="Calibri" w:eastAsia="Calibri" w:hAnsi="Calibri" w:cs="Calibri"/>
          <w:sz w:val="22"/>
          <w:szCs w:val="22"/>
          <w:lang w:val="en-GB"/>
        </w:rPr>
      </w:pPr>
    </w:p>
    <w:p w14:paraId="0F94D9F2" w14:textId="0B255E84" w:rsidR="00DC5664" w:rsidRDefault="00DC5664" w:rsidP="005D74F5">
      <w:pPr>
        <w:spacing w:line="257" w:lineRule="auto"/>
        <w:rPr>
          <w:rFonts w:ascii="Calibri" w:eastAsia="Calibri" w:hAnsi="Calibri" w:cs="Calibri"/>
          <w:sz w:val="22"/>
          <w:szCs w:val="22"/>
          <w:lang w:val="en-GB"/>
        </w:rPr>
      </w:pPr>
    </w:p>
    <w:p w14:paraId="21B2E574" w14:textId="23B231D5" w:rsidR="00FD27D8" w:rsidRDefault="00574598" w:rsidP="005D74F5">
      <w:pPr>
        <w:spacing w:line="257" w:lineRule="auto"/>
        <w:rPr>
          <w:rFonts w:ascii="Calibri" w:eastAsia="Calibri" w:hAnsi="Calibri" w:cs="Calibri"/>
          <w:sz w:val="22"/>
          <w:szCs w:val="22"/>
          <w:lang w:val="en-GB"/>
        </w:rPr>
      </w:pPr>
      <w:r>
        <w:rPr>
          <w:noProof/>
        </w:rPr>
        <w:lastRenderedPageBreak/>
        <w:drawing>
          <wp:inline distT="0" distB="0" distL="0" distR="0" wp14:anchorId="062E7E84" wp14:editId="2D37E2B5">
            <wp:extent cx="5473700" cy="2984500"/>
            <wp:effectExtent l="0" t="0" r="12700" b="12700"/>
            <wp:docPr id="1743142760" name="Chart 1" descr="Chart type: Pie. 'Field2'&#10;&#10;Description automatically generated">
              <a:extLst xmlns:a="http://schemas.openxmlformats.org/drawingml/2006/main">
                <a:ext uri="{FF2B5EF4-FFF2-40B4-BE49-F238E27FC236}">
                  <a16:creationId xmlns:a16="http://schemas.microsoft.com/office/drawing/2014/main" id="{F9A0CD21-DB2E-E9CF-DD11-B45ECA7334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51E529F" w14:textId="77777777" w:rsidR="00051683" w:rsidRDefault="00051683" w:rsidP="005D74F5">
      <w:pPr>
        <w:spacing w:line="257" w:lineRule="auto"/>
        <w:rPr>
          <w:rFonts w:ascii="Calibri" w:eastAsia="Calibri" w:hAnsi="Calibri" w:cs="Calibri"/>
          <w:sz w:val="22"/>
          <w:szCs w:val="22"/>
          <w:lang w:val="en-GB"/>
        </w:rPr>
      </w:pPr>
    </w:p>
    <w:p w14:paraId="7DEABA1E" w14:textId="57048773" w:rsidR="00051683" w:rsidRPr="005D74F5" w:rsidRDefault="00051683" w:rsidP="005D74F5">
      <w:pPr>
        <w:spacing w:line="257" w:lineRule="auto"/>
        <w:rPr>
          <w:rFonts w:ascii="Calibri" w:eastAsia="Calibri" w:hAnsi="Calibri" w:cs="Calibri"/>
          <w:sz w:val="22"/>
          <w:szCs w:val="22"/>
          <w:lang w:val="en-GB"/>
        </w:rPr>
      </w:pPr>
      <w:r>
        <w:rPr>
          <w:noProof/>
        </w:rPr>
        <w:drawing>
          <wp:inline distT="0" distB="0" distL="0" distR="0" wp14:anchorId="63CD34C5" wp14:editId="2137F018">
            <wp:extent cx="5410200" cy="2806700"/>
            <wp:effectExtent l="0" t="0" r="12700" b="12700"/>
            <wp:docPr id="1448644268" name="Chart 1" descr="Chart type: Pie. 'Field2'&#10;&#10;Description automatically generated">
              <a:extLst xmlns:a="http://schemas.openxmlformats.org/drawingml/2006/main">
                <a:ext uri="{FF2B5EF4-FFF2-40B4-BE49-F238E27FC236}">
                  <a16:creationId xmlns:a16="http://schemas.microsoft.com/office/drawing/2014/main" id="{F0001447-D651-0E55-7D82-5283B3C33D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sectPr w:rsidR="00051683" w:rsidRPr="005D74F5" w:rsidSect="00FF25D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85A43" w14:textId="77777777" w:rsidR="004F5539" w:rsidRDefault="004F5539" w:rsidP="001D6A54">
      <w:r>
        <w:separator/>
      </w:r>
    </w:p>
  </w:endnote>
  <w:endnote w:type="continuationSeparator" w:id="0">
    <w:p w14:paraId="1EDCC269" w14:textId="77777777" w:rsidR="004F5539" w:rsidRDefault="004F5539" w:rsidP="001D6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2DFF1" w14:textId="77777777" w:rsidR="004F5539" w:rsidRDefault="004F5539" w:rsidP="001D6A54">
      <w:r>
        <w:separator/>
      </w:r>
    </w:p>
  </w:footnote>
  <w:footnote w:type="continuationSeparator" w:id="0">
    <w:p w14:paraId="2845CD95" w14:textId="77777777" w:rsidR="004F5539" w:rsidRDefault="004F5539" w:rsidP="001D6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73573"/>
    <w:multiLevelType w:val="multilevel"/>
    <w:tmpl w:val="54D6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42640"/>
    <w:multiLevelType w:val="hybridMultilevel"/>
    <w:tmpl w:val="31283B68"/>
    <w:lvl w:ilvl="0" w:tplc="6B528826">
      <w:start w:val="1"/>
      <w:numFmt w:val="bullet"/>
      <w:lvlText w:val=""/>
      <w:lvlJc w:val="left"/>
      <w:pPr>
        <w:ind w:left="1080" w:hanging="360"/>
      </w:pPr>
      <w:rPr>
        <w:rFonts w:ascii="Symbol" w:hAnsi="Symbol" w:hint="default"/>
      </w:rPr>
    </w:lvl>
    <w:lvl w:ilvl="1" w:tplc="941673F4">
      <w:start w:val="1"/>
      <w:numFmt w:val="bullet"/>
      <w:lvlText w:val="o"/>
      <w:lvlJc w:val="left"/>
      <w:pPr>
        <w:ind w:left="1800" w:hanging="360"/>
      </w:pPr>
      <w:rPr>
        <w:rFonts w:ascii="Courier New" w:hAnsi="Courier New" w:hint="default"/>
      </w:rPr>
    </w:lvl>
    <w:lvl w:ilvl="2" w:tplc="D63C6FAC">
      <w:start w:val="1"/>
      <w:numFmt w:val="bullet"/>
      <w:lvlText w:val=""/>
      <w:lvlJc w:val="left"/>
      <w:pPr>
        <w:ind w:left="2520" w:hanging="360"/>
      </w:pPr>
      <w:rPr>
        <w:rFonts w:ascii="Wingdings" w:hAnsi="Wingdings" w:hint="default"/>
      </w:rPr>
    </w:lvl>
    <w:lvl w:ilvl="3" w:tplc="A7A6015A">
      <w:start w:val="1"/>
      <w:numFmt w:val="bullet"/>
      <w:lvlText w:val=""/>
      <w:lvlJc w:val="left"/>
      <w:pPr>
        <w:ind w:left="3240" w:hanging="360"/>
      </w:pPr>
      <w:rPr>
        <w:rFonts w:ascii="Symbol" w:hAnsi="Symbol" w:hint="default"/>
      </w:rPr>
    </w:lvl>
    <w:lvl w:ilvl="4" w:tplc="235E51F4">
      <w:start w:val="1"/>
      <w:numFmt w:val="bullet"/>
      <w:lvlText w:val="o"/>
      <w:lvlJc w:val="left"/>
      <w:pPr>
        <w:ind w:left="3960" w:hanging="360"/>
      </w:pPr>
      <w:rPr>
        <w:rFonts w:ascii="Courier New" w:hAnsi="Courier New" w:hint="default"/>
      </w:rPr>
    </w:lvl>
    <w:lvl w:ilvl="5" w:tplc="581CAFE2">
      <w:start w:val="1"/>
      <w:numFmt w:val="bullet"/>
      <w:lvlText w:val=""/>
      <w:lvlJc w:val="left"/>
      <w:pPr>
        <w:ind w:left="4680" w:hanging="360"/>
      </w:pPr>
      <w:rPr>
        <w:rFonts w:ascii="Wingdings" w:hAnsi="Wingdings" w:hint="default"/>
      </w:rPr>
    </w:lvl>
    <w:lvl w:ilvl="6" w:tplc="23F6F89C">
      <w:start w:val="1"/>
      <w:numFmt w:val="bullet"/>
      <w:lvlText w:val=""/>
      <w:lvlJc w:val="left"/>
      <w:pPr>
        <w:ind w:left="5400" w:hanging="360"/>
      </w:pPr>
      <w:rPr>
        <w:rFonts w:ascii="Symbol" w:hAnsi="Symbol" w:hint="default"/>
      </w:rPr>
    </w:lvl>
    <w:lvl w:ilvl="7" w:tplc="32983DE2">
      <w:start w:val="1"/>
      <w:numFmt w:val="bullet"/>
      <w:lvlText w:val="o"/>
      <w:lvlJc w:val="left"/>
      <w:pPr>
        <w:ind w:left="6120" w:hanging="360"/>
      </w:pPr>
      <w:rPr>
        <w:rFonts w:ascii="Courier New" w:hAnsi="Courier New" w:hint="default"/>
      </w:rPr>
    </w:lvl>
    <w:lvl w:ilvl="8" w:tplc="813696C4">
      <w:start w:val="1"/>
      <w:numFmt w:val="bullet"/>
      <w:lvlText w:val=""/>
      <w:lvlJc w:val="left"/>
      <w:pPr>
        <w:ind w:left="6840" w:hanging="360"/>
      </w:pPr>
      <w:rPr>
        <w:rFonts w:ascii="Wingdings" w:hAnsi="Wingdings" w:hint="default"/>
      </w:rPr>
    </w:lvl>
  </w:abstractNum>
  <w:abstractNum w:abstractNumId="2" w15:restartNumberingAfterBreak="0">
    <w:nsid w:val="14BAC3E1"/>
    <w:multiLevelType w:val="hybridMultilevel"/>
    <w:tmpl w:val="131A3C58"/>
    <w:lvl w:ilvl="0" w:tplc="61E85D9E">
      <w:start w:val="1"/>
      <w:numFmt w:val="decimal"/>
      <w:lvlText w:val="●"/>
      <w:lvlJc w:val="left"/>
      <w:pPr>
        <w:ind w:left="720" w:hanging="360"/>
      </w:pPr>
    </w:lvl>
    <w:lvl w:ilvl="1" w:tplc="D194BAEE">
      <w:start w:val="1"/>
      <w:numFmt w:val="decimal"/>
      <w:lvlText w:val="○"/>
      <w:lvlJc w:val="left"/>
      <w:pPr>
        <w:ind w:left="1440" w:hanging="360"/>
      </w:pPr>
    </w:lvl>
    <w:lvl w:ilvl="2" w:tplc="DE32C9D0">
      <w:start w:val="1"/>
      <w:numFmt w:val="bullet"/>
      <w:lvlText w:val=""/>
      <w:lvlJc w:val="left"/>
      <w:pPr>
        <w:ind w:left="2160" w:hanging="360"/>
      </w:pPr>
      <w:rPr>
        <w:rFonts w:ascii="Wingdings" w:hAnsi="Wingdings" w:hint="default"/>
      </w:rPr>
    </w:lvl>
    <w:lvl w:ilvl="3" w:tplc="DECCCFF6">
      <w:start w:val="1"/>
      <w:numFmt w:val="bullet"/>
      <w:lvlText w:val=""/>
      <w:lvlJc w:val="left"/>
      <w:pPr>
        <w:ind w:left="2880" w:hanging="360"/>
      </w:pPr>
      <w:rPr>
        <w:rFonts w:ascii="Symbol" w:hAnsi="Symbol" w:hint="default"/>
      </w:rPr>
    </w:lvl>
    <w:lvl w:ilvl="4" w:tplc="95C8A052">
      <w:start w:val="1"/>
      <w:numFmt w:val="bullet"/>
      <w:lvlText w:val="o"/>
      <w:lvlJc w:val="left"/>
      <w:pPr>
        <w:ind w:left="3600" w:hanging="360"/>
      </w:pPr>
      <w:rPr>
        <w:rFonts w:ascii="Courier New" w:hAnsi="Courier New" w:hint="default"/>
      </w:rPr>
    </w:lvl>
    <w:lvl w:ilvl="5" w:tplc="12AA489C">
      <w:start w:val="1"/>
      <w:numFmt w:val="bullet"/>
      <w:lvlText w:val=""/>
      <w:lvlJc w:val="left"/>
      <w:pPr>
        <w:ind w:left="4320" w:hanging="360"/>
      </w:pPr>
      <w:rPr>
        <w:rFonts w:ascii="Wingdings" w:hAnsi="Wingdings" w:hint="default"/>
      </w:rPr>
    </w:lvl>
    <w:lvl w:ilvl="6" w:tplc="E00CDA24">
      <w:start w:val="1"/>
      <w:numFmt w:val="bullet"/>
      <w:lvlText w:val=""/>
      <w:lvlJc w:val="left"/>
      <w:pPr>
        <w:ind w:left="5040" w:hanging="360"/>
      </w:pPr>
      <w:rPr>
        <w:rFonts w:ascii="Symbol" w:hAnsi="Symbol" w:hint="default"/>
      </w:rPr>
    </w:lvl>
    <w:lvl w:ilvl="7" w:tplc="391426D8">
      <w:start w:val="1"/>
      <w:numFmt w:val="bullet"/>
      <w:lvlText w:val="o"/>
      <w:lvlJc w:val="left"/>
      <w:pPr>
        <w:ind w:left="5760" w:hanging="360"/>
      </w:pPr>
      <w:rPr>
        <w:rFonts w:ascii="Courier New" w:hAnsi="Courier New" w:hint="default"/>
      </w:rPr>
    </w:lvl>
    <w:lvl w:ilvl="8" w:tplc="9E826A8A">
      <w:start w:val="1"/>
      <w:numFmt w:val="bullet"/>
      <w:lvlText w:val=""/>
      <w:lvlJc w:val="left"/>
      <w:pPr>
        <w:ind w:left="6480" w:hanging="360"/>
      </w:pPr>
      <w:rPr>
        <w:rFonts w:ascii="Wingdings" w:hAnsi="Wingdings" w:hint="default"/>
      </w:rPr>
    </w:lvl>
  </w:abstractNum>
  <w:abstractNum w:abstractNumId="3" w15:restartNumberingAfterBreak="0">
    <w:nsid w:val="287EF598"/>
    <w:multiLevelType w:val="hybridMultilevel"/>
    <w:tmpl w:val="377AB5DE"/>
    <w:lvl w:ilvl="0" w:tplc="891A2B1C">
      <w:start w:val="1"/>
      <w:numFmt w:val="bullet"/>
      <w:lvlText w:val=""/>
      <w:lvlJc w:val="left"/>
      <w:pPr>
        <w:ind w:left="720" w:hanging="360"/>
      </w:pPr>
      <w:rPr>
        <w:rFonts w:ascii="Symbol" w:hAnsi="Symbol" w:hint="default"/>
      </w:rPr>
    </w:lvl>
    <w:lvl w:ilvl="1" w:tplc="5C1C0872">
      <w:start w:val="1"/>
      <w:numFmt w:val="bullet"/>
      <w:lvlText w:val="o"/>
      <w:lvlJc w:val="left"/>
      <w:pPr>
        <w:ind w:left="1440" w:hanging="360"/>
      </w:pPr>
      <w:rPr>
        <w:rFonts w:ascii="Courier New" w:hAnsi="Courier New" w:hint="default"/>
      </w:rPr>
    </w:lvl>
    <w:lvl w:ilvl="2" w:tplc="753013CA">
      <w:start w:val="1"/>
      <w:numFmt w:val="bullet"/>
      <w:lvlText w:val=""/>
      <w:lvlJc w:val="left"/>
      <w:pPr>
        <w:ind w:left="2160" w:hanging="360"/>
      </w:pPr>
      <w:rPr>
        <w:rFonts w:ascii="Wingdings" w:hAnsi="Wingdings" w:hint="default"/>
      </w:rPr>
    </w:lvl>
    <w:lvl w:ilvl="3" w:tplc="96220360">
      <w:start w:val="1"/>
      <w:numFmt w:val="bullet"/>
      <w:lvlText w:val=""/>
      <w:lvlJc w:val="left"/>
      <w:pPr>
        <w:ind w:left="2880" w:hanging="360"/>
      </w:pPr>
      <w:rPr>
        <w:rFonts w:ascii="Symbol" w:hAnsi="Symbol" w:hint="default"/>
      </w:rPr>
    </w:lvl>
    <w:lvl w:ilvl="4" w:tplc="C8B2F8D2">
      <w:start w:val="1"/>
      <w:numFmt w:val="bullet"/>
      <w:lvlText w:val="o"/>
      <w:lvlJc w:val="left"/>
      <w:pPr>
        <w:ind w:left="3600" w:hanging="360"/>
      </w:pPr>
      <w:rPr>
        <w:rFonts w:ascii="Courier New" w:hAnsi="Courier New" w:hint="default"/>
      </w:rPr>
    </w:lvl>
    <w:lvl w:ilvl="5" w:tplc="2D06CF42">
      <w:start w:val="1"/>
      <w:numFmt w:val="bullet"/>
      <w:lvlText w:val=""/>
      <w:lvlJc w:val="left"/>
      <w:pPr>
        <w:ind w:left="4320" w:hanging="360"/>
      </w:pPr>
      <w:rPr>
        <w:rFonts w:ascii="Wingdings" w:hAnsi="Wingdings" w:hint="default"/>
      </w:rPr>
    </w:lvl>
    <w:lvl w:ilvl="6" w:tplc="8B78E430">
      <w:start w:val="1"/>
      <w:numFmt w:val="bullet"/>
      <w:lvlText w:val=""/>
      <w:lvlJc w:val="left"/>
      <w:pPr>
        <w:ind w:left="5040" w:hanging="360"/>
      </w:pPr>
      <w:rPr>
        <w:rFonts w:ascii="Symbol" w:hAnsi="Symbol" w:hint="default"/>
      </w:rPr>
    </w:lvl>
    <w:lvl w:ilvl="7" w:tplc="8A9E6922">
      <w:start w:val="1"/>
      <w:numFmt w:val="bullet"/>
      <w:lvlText w:val="o"/>
      <w:lvlJc w:val="left"/>
      <w:pPr>
        <w:ind w:left="5760" w:hanging="360"/>
      </w:pPr>
      <w:rPr>
        <w:rFonts w:ascii="Courier New" w:hAnsi="Courier New" w:hint="default"/>
      </w:rPr>
    </w:lvl>
    <w:lvl w:ilvl="8" w:tplc="BE020112">
      <w:start w:val="1"/>
      <w:numFmt w:val="bullet"/>
      <w:lvlText w:val=""/>
      <w:lvlJc w:val="left"/>
      <w:pPr>
        <w:ind w:left="6480" w:hanging="360"/>
      </w:pPr>
      <w:rPr>
        <w:rFonts w:ascii="Wingdings" w:hAnsi="Wingdings" w:hint="default"/>
      </w:rPr>
    </w:lvl>
  </w:abstractNum>
  <w:abstractNum w:abstractNumId="4" w15:restartNumberingAfterBreak="0">
    <w:nsid w:val="3411401A"/>
    <w:multiLevelType w:val="hybridMultilevel"/>
    <w:tmpl w:val="BF40AF0E"/>
    <w:lvl w:ilvl="0" w:tplc="32AC6894">
      <w:start w:val="1"/>
      <w:numFmt w:val="lowerLetter"/>
      <w:lvlText w:val="%1."/>
      <w:lvlJc w:val="left"/>
      <w:pPr>
        <w:ind w:left="720" w:hanging="360"/>
      </w:pPr>
    </w:lvl>
    <w:lvl w:ilvl="1" w:tplc="69345F92">
      <w:start w:val="1"/>
      <w:numFmt w:val="lowerLetter"/>
      <w:lvlText w:val="%2."/>
      <w:lvlJc w:val="left"/>
      <w:pPr>
        <w:ind w:left="1440" w:hanging="360"/>
      </w:pPr>
    </w:lvl>
    <w:lvl w:ilvl="2" w:tplc="F29C09E0">
      <w:start w:val="1"/>
      <w:numFmt w:val="lowerRoman"/>
      <w:lvlText w:val="%3."/>
      <w:lvlJc w:val="right"/>
      <w:pPr>
        <w:ind w:left="2160" w:hanging="180"/>
      </w:pPr>
    </w:lvl>
    <w:lvl w:ilvl="3" w:tplc="44B0656A">
      <w:start w:val="1"/>
      <w:numFmt w:val="decimal"/>
      <w:lvlText w:val="%4."/>
      <w:lvlJc w:val="left"/>
      <w:pPr>
        <w:ind w:left="2880" w:hanging="360"/>
      </w:pPr>
    </w:lvl>
    <w:lvl w:ilvl="4" w:tplc="ECF2AD54">
      <w:start w:val="1"/>
      <w:numFmt w:val="lowerLetter"/>
      <w:lvlText w:val="%5."/>
      <w:lvlJc w:val="left"/>
      <w:pPr>
        <w:ind w:left="3600" w:hanging="360"/>
      </w:pPr>
    </w:lvl>
    <w:lvl w:ilvl="5" w:tplc="F27AF6FA">
      <w:start w:val="1"/>
      <w:numFmt w:val="lowerRoman"/>
      <w:lvlText w:val="%6."/>
      <w:lvlJc w:val="right"/>
      <w:pPr>
        <w:ind w:left="4320" w:hanging="180"/>
      </w:pPr>
    </w:lvl>
    <w:lvl w:ilvl="6" w:tplc="82E871EC">
      <w:start w:val="1"/>
      <w:numFmt w:val="decimal"/>
      <w:lvlText w:val="%7."/>
      <w:lvlJc w:val="left"/>
      <w:pPr>
        <w:ind w:left="5040" w:hanging="360"/>
      </w:pPr>
    </w:lvl>
    <w:lvl w:ilvl="7" w:tplc="D2221256">
      <w:start w:val="1"/>
      <w:numFmt w:val="lowerLetter"/>
      <w:lvlText w:val="%8."/>
      <w:lvlJc w:val="left"/>
      <w:pPr>
        <w:ind w:left="5760" w:hanging="360"/>
      </w:pPr>
    </w:lvl>
    <w:lvl w:ilvl="8" w:tplc="B3E040A0">
      <w:start w:val="1"/>
      <w:numFmt w:val="lowerRoman"/>
      <w:lvlText w:val="%9."/>
      <w:lvlJc w:val="right"/>
      <w:pPr>
        <w:ind w:left="6480" w:hanging="180"/>
      </w:pPr>
    </w:lvl>
  </w:abstractNum>
  <w:abstractNum w:abstractNumId="5" w15:restartNumberingAfterBreak="0">
    <w:nsid w:val="49EF1460"/>
    <w:multiLevelType w:val="multilevel"/>
    <w:tmpl w:val="CD4A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972C32"/>
    <w:multiLevelType w:val="hybridMultilevel"/>
    <w:tmpl w:val="0BE0D24C"/>
    <w:lvl w:ilvl="0" w:tplc="52D40CA2">
      <w:start w:val="1"/>
      <w:numFmt w:val="bullet"/>
      <w:lvlText w:val="o"/>
      <w:lvlJc w:val="left"/>
      <w:pPr>
        <w:ind w:left="1440" w:hanging="360"/>
      </w:pPr>
      <w:rPr>
        <w:rFonts w:ascii="Courier New" w:hAnsi="Courier New" w:hint="default"/>
      </w:rPr>
    </w:lvl>
    <w:lvl w:ilvl="1" w:tplc="2952B4F6">
      <w:start w:val="1"/>
      <w:numFmt w:val="bullet"/>
      <w:lvlText w:val="o"/>
      <w:lvlJc w:val="left"/>
      <w:pPr>
        <w:ind w:left="2160" w:hanging="360"/>
      </w:pPr>
      <w:rPr>
        <w:rFonts w:ascii="Courier New" w:hAnsi="Courier New" w:hint="default"/>
      </w:rPr>
    </w:lvl>
    <w:lvl w:ilvl="2" w:tplc="CD98F8AE">
      <w:start w:val="1"/>
      <w:numFmt w:val="bullet"/>
      <w:lvlText w:val=""/>
      <w:lvlJc w:val="left"/>
      <w:pPr>
        <w:ind w:left="2880" w:hanging="360"/>
      </w:pPr>
      <w:rPr>
        <w:rFonts w:ascii="Wingdings" w:hAnsi="Wingdings" w:hint="default"/>
      </w:rPr>
    </w:lvl>
    <w:lvl w:ilvl="3" w:tplc="E26A928E">
      <w:start w:val="1"/>
      <w:numFmt w:val="bullet"/>
      <w:lvlText w:val=""/>
      <w:lvlJc w:val="left"/>
      <w:pPr>
        <w:ind w:left="3600" w:hanging="360"/>
      </w:pPr>
      <w:rPr>
        <w:rFonts w:ascii="Symbol" w:hAnsi="Symbol" w:hint="default"/>
      </w:rPr>
    </w:lvl>
    <w:lvl w:ilvl="4" w:tplc="FB489414">
      <w:start w:val="1"/>
      <w:numFmt w:val="bullet"/>
      <w:lvlText w:val="o"/>
      <w:lvlJc w:val="left"/>
      <w:pPr>
        <w:ind w:left="4320" w:hanging="360"/>
      </w:pPr>
      <w:rPr>
        <w:rFonts w:ascii="Courier New" w:hAnsi="Courier New" w:hint="default"/>
      </w:rPr>
    </w:lvl>
    <w:lvl w:ilvl="5" w:tplc="5AA60812">
      <w:start w:val="1"/>
      <w:numFmt w:val="bullet"/>
      <w:lvlText w:val=""/>
      <w:lvlJc w:val="left"/>
      <w:pPr>
        <w:ind w:left="5040" w:hanging="360"/>
      </w:pPr>
      <w:rPr>
        <w:rFonts w:ascii="Wingdings" w:hAnsi="Wingdings" w:hint="default"/>
      </w:rPr>
    </w:lvl>
    <w:lvl w:ilvl="6" w:tplc="FDAA12C6">
      <w:start w:val="1"/>
      <w:numFmt w:val="bullet"/>
      <w:lvlText w:val=""/>
      <w:lvlJc w:val="left"/>
      <w:pPr>
        <w:ind w:left="5760" w:hanging="360"/>
      </w:pPr>
      <w:rPr>
        <w:rFonts w:ascii="Symbol" w:hAnsi="Symbol" w:hint="default"/>
      </w:rPr>
    </w:lvl>
    <w:lvl w:ilvl="7" w:tplc="7C16D87C">
      <w:start w:val="1"/>
      <w:numFmt w:val="bullet"/>
      <w:lvlText w:val="o"/>
      <w:lvlJc w:val="left"/>
      <w:pPr>
        <w:ind w:left="6480" w:hanging="360"/>
      </w:pPr>
      <w:rPr>
        <w:rFonts w:ascii="Courier New" w:hAnsi="Courier New" w:hint="default"/>
      </w:rPr>
    </w:lvl>
    <w:lvl w:ilvl="8" w:tplc="9150573A">
      <w:start w:val="1"/>
      <w:numFmt w:val="bullet"/>
      <w:lvlText w:val=""/>
      <w:lvlJc w:val="left"/>
      <w:pPr>
        <w:ind w:left="7200" w:hanging="360"/>
      </w:pPr>
      <w:rPr>
        <w:rFonts w:ascii="Wingdings" w:hAnsi="Wingdings" w:hint="default"/>
      </w:rPr>
    </w:lvl>
  </w:abstractNum>
  <w:num w:numId="1" w16cid:durableId="1531990131">
    <w:abstractNumId w:val="4"/>
  </w:num>
  <w:num w:numId="2" w16cid:durableId="1047492881">
    <w:abstractNumId w:val="1"/>
  </w:num>
  <w:num w:numId="3" w16cid:durableId="1855724565">
    <w:abstractNumId w:val="6"/>
  </w:num>
  <w:num w:numId="4" w16cid:durableId="2044281546">
    <w:abstractNumId w:val="3"/>
  </w:num>
  <w:num w:numId="5" w16cid:durableId="1854176939">
    <w:abstractNumId w:val="2"/>
  </w:num>
  <w:num w:numId="6" w16cid:durableId="1589654369">
    <w:abstractNumId w:val="0"/>
  </w:num>
  <w:num w:numId="7" w16cid:durableId="16522480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470"/>
    <w:rsid w:val="00051683"/>
    <w:rsid w:val="001D6A54"/>
    <w:rsid w:val="004914E9"/>
    <w:rsid w:val="004E6417"/>
    <w:rsid w:val="004F5539"/>
    <w:rsid w:val="00522470"/>
    <w:rsid w:val="00574598"/>
    <w:rsid w:val="005D74F5"/>
    <w:rsid w:val="005E70EA"/>
    <w:rsid w:val="006032D8"/>
    <w:rsid w:val="006E0433"/>
    <w:rsid w:val="007538C8"/>
    <w:rsid w:val="008426B3"/>
    <w:rsid w:val="0098112C"/>
    <w:rsid w:val="009E6BF3"/>
    <w:rsid w:val="00C02B03"/>
    <w:rsid w:val="00C72916"/>
    <w:rsid w:val="00DC5664"/>
    <w:rsid w:val="00DF747E"/>
    <w:rsid w:val="00E31C5A"/>
    <w:rsid w:val="00EF350D"/>
    <w:rsid w:val="00FD27D8"/>
    <w:rsid w:val="00FF25DE"/>
    <w:rsid w:val="543570C0"/>
    <w:rsid w:val="56D04366"/>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86256"/>
  <w15:chartTrackingRefBased/>
  <w15:docId w15:val="{488735E6-B3FF-8843-AC96-DF45BF42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4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4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4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4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470"/>
    <w:rPr>
      <w:rFonts w:eastAsiaTheme="majorEastAsia" w:cstheme="majorBidi"/>
      <w:color w:val="272727" w:themeColor="text1" w:themeTint="D8"/>
    </w:rPr>
  </w:style>
  <w:style w:type="paragraph" w:styleId="Title">
    <w:name w:val="Title"/>
    <w:basedOn w:val="Normal"/>
    <w:next w:val="Normal"/>
    <w:link w:val="TitleChar"/>
    <w:uiPriority w:val="10"/>
    <w:qFormat/>
    <w:rsid w:val="005224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4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4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22470"/>
    <w:rPr>
      <w:i/>
      <w:iCs/>
      <w:color w:val="404040" w:themeColor="text1" w:themeTint="BF"/>
    </w:rPr>
  </w:style>
  <w:style w:type="paragraph" w:styleId="ListParagraph">
    <w:name w:val="List Paragraph"/>
    <w:basedOn w:val="Normal"/>
    <w:uiPriority w:val="34"/>
    <w:qFormat/>
    <w:rsid w:val="00522470"/>
    <w:pPr>
      <w:ind w:left="720"/>
      <w:contextualSpacing/>
    </w:pPr>
  </w:style>
  <w:style w:type="character" w:styleId="IntenseEmphasis">
    <w:name w:val="Intense Emphasis"/>
    <w:basedOn w:val="DefaultParagraphFont"/>
    <w:uiPriority w:val="21"/>
    <w:qFormat/>
    <w:rsid w:val="00522470"/>
    <w:rPr>
      <w:i/>
      <w:iCs/>
      <w:color w:val="0F4761" w:themeColor="accent1" w:themeShade="BF"/>
    </w:rPr>
  </w:style>
  <w:style w:type="paragraph" w:styleId="IntenseQuote">
    <w:name w:val="Intense Quote"/>
    <w:basedOn w:val="Normal"/>
    <w:next w:val="Normal"/>
    <w:link w:val="IntenseQuoteChar"/>
    <w:uiPriority w:val="30"/>
    <w:qFormat/>
    <w:rsid w:val="00522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470"/>
    <w:rPr>
      <w:i/>
      <w:iCs/>
      <w:color w:val="0F4761" w:themeColor="accent1" w:themeShade="BF"/>
    </w:rPr>
  </w:style>
  <w:style w:type="character" w:styleId="IntenseReference">
    <w:name w:val="Intense Reference"/>
    <w:basedOn w:val="DefaultParagraphFont"/>
    <w:uiPriority w:val="32"/>
    <w:qFormat/>
    <w:rsid w:val="00522470"/>
    <w:rPr>
      <w:b/>
      <w:bCs/>
      <w:smallCaps/>
      <w:color w:val="0F4761" w:themeColor="accent1" w:themeShade="BF"/>
      <w:spacing w:val="5"/>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1D6A54"/>
    <w:pPr>
      <w:tabs>
        <w:tab w:val="center" w:pos="4513"/>
        <w:tab w:val="right" w:pos="9026"/>
      </w:tabs>
    </w:pPr>
  </w:style>
  <w:style w:type="character" w:customStyle="1" w:styleId="HeaderChar">
    <w:name w:val="Header Char"/>
    <w:basedOn w:val="DefaultParagraphFont"/>
    <w:link w:val="Header"/>
    <w:uiPriority w:val="99"/>
    <w:rsid w:val="001D6A54"/>
  </w:style>
  <w:style w:type="paragraph" w:styleId="Footer">
    <w:name w:val="footer"/>
    <w:basedOn w:val="Normal"/>
    <w:link w:val="FooterChar"/>
    <w:uiPriority w:val="99"/>
    <w:unhideWhenUsed/>
    <w:rsid w:val="001D6A54"/>
    <w:pPr>
      <w:tabs>
        <w:tab w:val="center" w:pos="4513"/>
        <w:tab w:val="right" w:pos="9026"/>
      </w:tabs>
    </w:pPr>
  </w:style>
  <w:style w:type="character" w:customStyle="1" w:styleId="FooterChar">
    <w:name w:val="Footer Char"/>
    <w:basedOn w:val="DefaultParagraphFont"/>
    <w:link w:val="Footer"/>
    <w:uiPriority w:val="99"/>
    <w:rsid w:val="001D6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3331">
      <w:bodyDiv w:val="1"/>
      <w:marLeft w:val="0"/>
      <w:marRight w:val="0"/>
      <w:marTop w:val="0"/>
      <w:marBottom w:val="0"/>
      <w:divBdr>
        <w:top w:val="none" w:sz="0" w:space="0" w:color="auto"/>
        <w:left w:val="none" w:sz="0" w:space="0" w:color="auto"/>
        <w:bottom w:val="none" w:sz="0" w:space="0" w:color="auto"/>
        <w:right w:val="none" w:sz="0" w:space="0" w:color="auto"/>
      </w:divBdr>
    </w:div>
    <w:div w:id="833574549">
      <w:bodyDiv w:val="1"/>
      <w:marLeft w:val="0"/>
      <w:marRight w:val="0"/>
      <w:marTop w:val="0"/>
      <w:marBottom w:val="0"/>
      <w:divBdr>
        <w:top w:val="none" w:sz="0" w:space="0" w:color="auto"/>
        <w:left w:val="none" w:sz="0" w:space="0" w:color="auto"/>
        <w:bottom w:val="none" w:sz="0" w:space="0" w:color="auto"/>
        <w:right w:val="none" w:sz="0" w:space="0" w:color="auto"/>
      </w:divBdr>
    </w:div>
    <w:div w:id="199460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griffitheduau-my.sharepoint.com/personal/j_nalau_griffith_edu_au/Documents/UNFCCC_Latest/GGA_2024/Expert%20GGA%20stream/Cultural%20Heritage/Cultural%20Heritage%20Merged%20Indicator%20Database-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griffitheduau-my.sharepoint.com/personal/j_nalau_griffith_edu_au/Documents/UNFCCC_Latest/GGA_2024/Expert%20GGA%20stream/Cultural%20Heritage/Cultural%20Heritage%20Merged%20Indicator%20Database-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12a</a:t>
            </a:r>
            <a:r>
              <a:rPr lang="en-US" baseline="0"/>
              <a:t> for Cultural heritage</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v>Field2</c:v>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A64-5F43-AA9C-57AAB3EC52C0}"/>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A64-5F43-AA9C-57AAB3EC52C0}"/>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A64-5F43-AA9C-57AAB3EC52C0}"/>
              </c:ext>
            </c:extLst>
          </c:dPt>
          <c:dLbls>
            <c:dLbl>
              <c:idx val="0"/>
              <c:tx>
                <c:rich>
                  <a:bodyPr/>
                  <a:lstStyle/>
                  <a:p>
                    <a:r>
                      <a:rPr lang="en-US" sz="900" b="1" i="0" u="none" strike="noStrike" baseline="0">
                        <a:effectLst/>
                      </a:rPr>
                      <a:t>97 </a:t>
                    </a:r>
                    <a:endParaRPr lang="en-US"/>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EA64-5F43-AA9C-57AAB3EC52C0}"/>
                </c:ext>
              </c:extLst>
            </c:dLbl>
            <c:dLbl>
              <c:idx val="1"/>
              <c:tx>
                <c:rich>
                  <a:bodyPr/>
                  <a:lstStyle/>
                  <a:p>
                    <a:r>
                      <a:rPr lang="en-US"/>
                      <a:t>80</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EA64-5F43-AA9C-57AAB3EC52C0}"/>
                </c:ext>
              </c:extLst>
            </c:dLbl>
            <c:dLbl>
              <c:idx val="2"/>
              <c:tx>
                <c:rich>
                  <a:bodyPr/>
                  <a:lstStyle/>
                  <a:p>
                    <a:r>
                      <a:rPr lang="en-US"/>
                      <a:t>57</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EA64-5F43-AA9C-57AAB3EC52C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'[Cultural Heritage Merged Indicator Database-2.xlsx]Cultural Heritage'!$S$286:$S$288</c:f>
              <c:strCache>
                <c:ptCount val="3"/>
                <c:pt idx="0">
                  <c:v>Yes</c:v>
                </c:pt>
                <c:pt idx="1">
                  <c:v>No</c:v>
                </c:pt>
                <c:pt idx="2">
                  <c:v>Maybe </c:v>
                </c:pt>
              </c:strCache>
            </c:strRef>
          </c:cat>
          <c:val>
            <c:numRef>
              <c:f>'[Cultural Heritage Merged Indicator Database-2.xlsx]Cultural Heritage'!$T$286:$T$288</c:f>
              <c:numCache>
                <c:formatCode>General</c:formatCode>
                <c:ptCount val="3"/>
                <c:pt idx="0">
                  <c:v>97</c:v>
                </c:pt>
                <c:pt idx="1">
                  <c:v>80</c:v>
                </c:pt>
                <c:pt idx="2">
                  <c:v>57</c:v>
                </c:pt>
              </c:numCache>
            </c:numRef>
          </c:val>
          <c:extLst>
            <c:ext xmlns:c16="http://schemas.microsoft.com/office/drawing/2014/chart" uri="{C3380CC4-5D6E-409C-BE32-E72D297353CC}">
              <c16:uniqueId val="{00000006-EA64-5F43-AA9C-57AAB3EC52C0}"/>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12b</a:t>
            </a:r>
            <a:r>
              <a:rPr lang="en-US" baseline="0"/>
              <a:t> for cultural heritage</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v>Field2</c:v>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B1D-6E43-8216-E490EE7C099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B1D-6E43-8216-E490EE7C099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B1D-6E43-8216-E490EE7C099F}"/>
              </c:ext>
            </c:extLst>
          </c:dPt>
          <c:dLbls>
            <c:dLbl>
              <c:idx val="0"/>
              <c:tx>
                <c:rich>
                  <a:bodyPr/>
                  <a:lstStyle/>
                  <a:p>
                    <a:r>
                      <a:rPr lang="en-US"/>
                      <a:t>76</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4B1D-6E43-8216-E490EE7C099F}"/>
                </c:ext>
              </c:extLst>
            </c:dLbl>
            <c:dLbl>
              <c:idx val="1"/>
              <c:tx>
                <c:rich>
                  <a:bodyPr/>
                  <a:lstStyle/>
                  <a:p>
                    <a:r>
                      <a:rPr lang="en-US"/>
                      <a:t>65</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4B1D-6E43-8216-E490EE7C099F}"/>
                </c:ext>
              </c:extLst>
            </c:dLbl>
            <c:dLbl>
              <c:idx val="2"/>
              <c:tx>
                <c:rich>
                  <a:bodyPr/>
                  <a:lstStyle/>
                  <a:p>
                    <a:r>
                      <a:rPr lang="en-US"/>
                      <a:t>93</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4B1D-6E43-8216-E490EE7C099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'[Cultural Heritage Merged Indicator Database-2.xlsx]Cultural Heritage'!$S$290:$S$292</c:f>
              <c:strCache>
                <c:ptCount val="3"/>
                <c:pt idx="0">
                  <c:v>Yes</c:v>
                </c:pt>
                <c:pt idx="1">
                  <c:v>No </c:v>
                </c:pt>
                <c:pt idx="2">
                  <c:v>Maybe </c:v>
                </c:pt>
              </c:strCache>
            </c:strRef>
          </c:cat>
          <c:val>
            <c:numRef>
              <c:f>'[Cultural Heritage Merged Indicator Database-2.xlsx]Cultural Heritage'!$T$290:$T$292</c:f>
              <c:numCache>
                <c:formatCode>General</c:formatCode>
                <c:ptCount val="3"/>
                <c:pt idx="0">
                  <c:v>76</c:v>
                </c:pt>
                <c:pt idx="1">
                  <c:v>65</c:v>
                </c:pt>
                <c:pt idx="2">
                  <c:v>93</c:v>
                </c:pt>
              </c:numCache>
            </c:numRef>
          </c:val>
          <c:extLst>
            <c:ext xmlns:c16="http://schemas.microsoft.com/office/drawing/2014/chart" uri="{C3380CC4-5D6E-409C-BE32-E72D297353CC}">
              <c16:uniqueId val="{00000006-4B1D-6E43-8216-E490EE7C099F}"/>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daa4be3-f650-4692-881a-64ae220cbceb}"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5</Pages>
  <Words>1389</Words>
  <Characters>7754</Characters>
  <Application>Microsoft Office Word</Application>
  <DocSecurity>0</DocSecurity>
  <Lines>172</Lines>
  <Paragraphs>78</Paragraphs>
  <ScaleCrop>false</ScaleCrop>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Ruru</dc:creator>
  <cp:keywords/>
  <dc:description/>
  <cp:lastModifiedBy>Dalia Hashweh</cp:lastModifiedBy>
  <cp:revision>15</cp:revision>
  <dcterms:created xsi:type="dcterms:W3CDTF">2024-11-02T05:42:00Z</dcterms:created>
  <dcterms:modified xsi:type="dcterms:W3CDTF">2024-11-07T16:04:00Z</dcterms:modified>
</cp:coreProperties>
</file>