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C4F4B" w14:textId="77777777" w:rsidR="00EC5854" w:rsidRDefault="00A31518">
      <w:pPr>
        <w:spacing w:after="40"/>
      </w:pPr>
      <w:r>
        <w:rPr>
          <w:b/>
          <w:bCs/>
          <w:color w:val="1F4E79"/>
          <w:sz w:val="40"/>
          <w:szCs w:val="40"/>
        </w:rPr>
        <w:t>Renting Out Your Los Angeles Home</w:t>
      </w:r>
    </w:p>
    <w:p w14:paraId="574AADE9" w14:textId="77777777" w:rsidR="00EC5854" w:rsidRDefault="00A31518">
      <w:pPr>
        <w:spacing w:after="60"/>
      </w:pPr>
      <w:r>
        <w:rPr>
          <w:i/>
          <w:iCs/>
          <w:color w:val="555555"/>
          <w:sz w:val="22"/>
          <w:szCs w:val="22"/>
        </w:rPr>
        <w:t>What the law requires of an individual who owns a single-family rental in the City of Los Angeles</w:t>
      </w:r>
    </w:p>
    <w:p w14:paraId="66FEB04A" w14:textId="77777777" w:rsidR="00EC5854" w:rsidRDefault="00A31518">
      <w:pPr>
        <w:pBdr>
          <w:bottom w:val="single" w:sz="10" w:space="6" w:color="2E75B6"/>
        </w:pBdr>
        <w:spacing w:after="180"/>
      </w:pPr>
      <w:r>
        <w:rPr>
          <w:color w:val="555555"/>
          <w:sz w:val="18"/>
          <w:szCs w:val="18"/>
        </w:rPr>
        <w:t xml:space="preserve">Prepared for: ___________________________            Prepared </w:t>
      </w:r>
      <w:proofErr w:type="gramStart"/>
      <w:r>
        <w:rPr>
          <w:color w:val="555555"/>
          <w:sz w:val="18"/>
          <w:szCs w:val="18"/>
        </w:rPr>
        <w:t>by: ____</w:t>
      </w:r>
      <w:proofErr w:type="gramEnd"/>
      <w:r>
        <w:rPr>
          <w:color w:val="555555"/>
          <w:sz w:val="18"/>
          <w:szCs w:val="18"/>
        </w:rPr>
        <w:t>______________________</w:t>
      </w:r>
      <w:proofErr w:type="gramStart"/>
      <w:r>
        <w:rPr>
          <w:color w:val="555555"/>
          <w:sz w:val="18"/>
          <w:szCs w:val="18"/>
        </w:rPr>
        <w:t xml:space="preserve">_            Date: </w:t>
      </w:r>
      <w:proofErr w:type="gramEnd"/>
      <w:r>
        <w:rPr>
          <w:color w:val="555555"/>
          <w:sz w:val="18"/>
          <w:szCs w:val="18"/>
        </w:rPr>
        <w:t>____________</w:t>
      </w:r>
    </w:p>
    <w:p w14:paraId="53BDEF42" w14:textId="77777777" w:rsidR="00EC5854" w:rsidRDefault="00A31518">
      <w:pPr>
        <w:spacing w:after="140"/>
      </w:pPr>
      <w:r>
        <w:t xml:space="preserve">Your property is a </w:t>
      </w:r>
      <w:r>
        <w:rPr>
          <w:b/>
          <w:bCs/>
        </w:rPr>
        <w:t>single-family home that you own as an individual and rent out</w:t>
      </w:r>
      <w:r>
        <w:t xml:space="preserve">, located inside the City of Los Angeles, with an estimated </w:t>
      </w:r>
      <w:proofErr w:type="gramStart"/>
      <w:r>
        <w:t>value</w:t>
      </w:r>
      <w:proofErr w:type="gramEnd"/>
      <w:r>
        <w:t xml:space="preserve"> around $1.5 million. That specific combination matters: it keeps you out of Los Angeles’ </w:t>
      </w:r>
      <w:proofErr w:type="gramStart"/>
      <w:r>
        <w:t>strictest</w:t>
      </w:r>
      <w:proofErr w:type="gramEnd"/>
      <w:r>
        <w:t xml:space="preserve"> rent-control rules, but it does </w:t>
      </w:r>
      <w:r>
        <w:rPr>
          <w:b/>
          <w:bCs/>
          <w:i/>
          <w:iCs/>
        </w:rPr>
        <w:t>not</w:t>
      </w:r>
      <w:r>
        <w:t xml:space="preserve"> make you exempt from everything. Two requirements </w:t>
      </w:r>
      <w:proofErr w:type="gramStart"/>
      <w:r>
        <w:t>in particular are</w:t>
      </w:r>
      <w:proofErr w:type="gramEnd"/>
      <w:r>
        <w:t xml:space="preserve"> easy to overlook and expensive to get wrong. This summary walks through both.</w:t>
      </w:r>
    </w:p>
    <w:p w14:paraId="389091CA" w14:textId="77777777" w:rsidR="00EC5854" w:rsidRDefault="00A31518">
      <w:pPr>
        <w:spacing w:before="220" w:after="100"/>
      </w:pPr>
      <w:r>
        <w:rPr>
          <w:b/>
          <w:bCs/>
          <w:color w:val="2E7D32"/>
          <w:sz w:val="26"/>
          <w:szCs w:val="26"/>
        </w:rPr>
        <w:t>The good news: you avoid LA’s strictest rent control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5854" w14:paraId="35466A52" w14:textId="77777777">
        <w:tblPrEx>
          <w:tblCellMar>
            <w:top w:w="0" w:type="dxa"/>
            <w:bottom w:w="0" w:type="dxa"/>
          </w:tblCellMar>
        </w:tblPrEx>
        <w:tc>
          <w:tcPr>
            <w:tcW w:w="9360" w:type="dxa"/>
            <w:tcBorders>
              <w:top w:val="single" w:sz="2" w:space="0" w:color="2E7D32"/>
              <w:left w:val="single" w:sz="12" w:space="0" w:color="2E7D32"/>
              <w:bottom w:val="single" w:sz="2" w:space="0" w:color="2E7D32"/>
              <w:right w:val="single" w:sz="2" w:space="0" w:color="2E7D32"/>
            </w:tcBorders>
            <w:shd w:val="clear" w:color="auto" w:fill="E7F2E7"/>
            <w:tcMar>
              <w:top w:w="140" w:type="dxa"/>
              <w:left w:w="200" w:type="dxa"/>
              <w:bottom w:w="140" w:type="dxa"/>
              <w:right w:w="200" w:type="dxa"/>
            </w:tcMar>
          </w:tcPr>
          <w:p w14:paraId="1D35D1EB" w14:textId="77777777" w:rsidR="00EC5854" w:rsidRDefault="00A31518">
            <w:pPr>
              <w:pStyle w:val="ListParagraph"/>
              <w:numPr>
                <w:ilvl w:val="0"/>
                <w:numId w:val="2"/>
              </w:numPr>
              <w:spacing w:after="90"/>
            </w:pPr>
            <w:r>
              <w:rPr>
                <w:b/>
                <w:bCs/>
                <w:color w:val="2E7D32"/>
              </w:rPr>
              <w:t xml:space="preserve">No City rent cap. </w:t>
            </w:r>
            <w:r>
              <w:t>The City’s Rent Stabilization Ordinance (RSO) applies to buildings with two or more units — not to a standalone single-family home. The 3–4% annual rent caps that bind most LA apartment owners do not apply to you.</w:t>
            </w:r>
          </w:p>
          <w:p w14:paraId="34C2EE8D" w14:textId="77777777" w:rsidR="00EC5854" w:rsidRDefault="00A31518">
            <w:pPr>
              <w:pStyle w:val="ListParagraph"/>
              <w:numPr>
                <w:ilvl w:val="0"/>
                <w:numId w:val="2"/>
              </w:numPr>
              <w:spacing w:after="90"/>
            </w:pPr>
            <w:r>
              <w:rPr>
                <w:b/>
                <w:bCs/>
                <w:color w:val="2E7D32"/>
              </w:rPr>
              <w:t xml:space="preserve">You can also be exempt from the state rent cap. </w:t>
            </w:r>
            <w:r>
              <w:t xml:space="preserve">Because you own the home as an individual (not a corporation, REIT, or LLC with a corporate member), the home can be exempt from California’s statewide rent cap and just-cause rules under AB 1482 — </w:t>
            </w:r>
            <w:r>
              <w:rPr>
                <w:b/>
                <w:bCs/>
              </w:rPr>
              <w:t>but only if you take the step in the next section.</w:t>
            </w:r>
          </w:p>
        </w:tc>
      </w:tr>
    </w:tbl>
    <w:p w14:paraId="6969901F" w14:textId="77777777" w:rsidR="00EC5854" w:rsidRDefault="00EC5854">
      <w:pPr>
        <w:spacing w:after="60"/>
      </w:pPr>
    </w:p>
    <w:p w14:paraId="11CAE848" w14:textId="77777777" w:rsidR="00EC5854" w:rsidRDefault="00A31518">
      <w:pPr>
        <w:spacing w:before="220" w:after="100"/>
      </w:pPr>
      <w:r>
        <w:rPr>
          <w:b/>
          <w:bCs/>
          <w:color w:val="B26A00"/>
          <w:sz w:val="26"/>
          <w:szCs w:val="26"/>
        </w:rPr>
        <w:t>Requirement #1: Your rent-cap exemption is not automatic</w:t>
      </w:r>
    </w:p>
    <w:p w14:paraId="303DBEAA" w14:textId="77777777" w:rsidR="00EC5854" w:rsidRDefault="00A31518">
      <w:pPr>
        <w:spacing w:after="140"/>
      </w:pPr>
      <w:r>
        <w:t xml:space="preserve">The single most common and costly mistake for single-family rental owners is assuming the exemption applies by default. It does not. Under AB 1482, a single-family home is exempt from the rent cap and the state just-cause rules </w:t>
      </w:r>
      <w:r>
        <w:rPr>
          <w:b/>
          <w:bCs/>
        </w:rPr>
        <w:t xml:space="preserve">only if </w:t>
      </w:r>
      <w:proofErr w:type="gramStart"/>
      <w:r>
        <w:rPr>
          <w:b/>
          <w:bCs/>
        </w:rPr>
        <w:t>both</w:t>
      </w:r>
      <w:r>
        <w:t xml:space="preserve"> of these</w:t>
      </w:r>
      <w:proofErr w:type="gramEnd"/>
      <w:r>
        <w:t xml:space="preserve"> are true:</w:t>
      </w:r>
    </w:p>
    <w:p w14:paraId="4BC8558D" w14:textId="77777777" w:rsidR="00EC5854" w:rsidRDefault="00A31518">
      <w:pPr>
        <w:pStyle w:val="ListParagraph"/>
        <w:numPr>
          <w:ilvl w:val="0"/>
          <w:numId w:val="2"/>
        </w:numPr>
        <w:spacing w:after="90"/>
      </w:pPr>
      <w:r>
        <w:t xml:space="preserve">The owner is a natural person (or a trust/LLC whose members are all natural </w:t>
      </w:r>
      <w:proofErr w:type="gramStart"/>
      <w:r>
        <w:t>persons) —</w:t>
      </w:r>
      <w:proofErr w:type="gramEnd"/>
      <w:r>
        <w:t xml:space="preserve"> not a corporation, REIT, or an LLC with any corporate member; </w:t>
      </w:r>
      <w:r>
        <w:rPr>
          <w:i/>
          <w:iCs/>
        </w:rPr>
        <w:t>and</w:t>
      </w:r>
    </w:p>
    <w:p w14:paraId="5F86DB3C" w14:textId="77777777" w:rsidR="00EC5854" w:rsidRDefault="00A31518">
      <w:pPr>
        <w:pStyle w:val="ListParagraph"/>
        <w:numPr>
          <w:ilvl w:val="0"/>
          <w:numId w:val="2"/>
        </w:numPr>
        <w:spacing w:after="90"/>
      </w:pPr>
      <w:r>
        <w:t xml:space="preserve">The lease includes the </w:t>
      </w:r>
      <w:r>
        <w:rPr>
          <w:b/>
          <w:bCs/>
        </w:rPr>
        <w:t>specific statutory exemption notice</w:t>
      </w:r>
      <w:r>
        <w:t xml:space="preserve"> required by California Civil Code § 1946.2(e)(8)(B).</w:t>
      </w:r>
    </w:p>
    <w:p w14:paraId="539584E8" w14:textId="77777777" w:rsidR="00EC5854" w:rsidRDefault="00A31518">
      <w:pPr>
        <w:spacing w:after="140"/>
      </w:pPr>
      <w:r>
        <w:t xml:space="preserve">If that exact notice is missing from the lease, the exemption is lost — and the home is treated as fully covered: rent increases are capped (roughly 8% per year in the LA area, recalculated every August 1) and you must have state-defined just cause to end a tenancy. The exemption cannot be added retroactively; on a month-to-month </w:t>
      </w:r>
      <w:proofErr w:type="gramStart"/>
      <w:r>
        <w:t>tenancy it</w:t>
      </w:r>
      <w:proofErr w:type="gramEnd"/>
      <w:r>
        <w:t xml:space="preserve"> can be added going forward with a 30-day change-of-terms notice.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5854" w14:paraId="210F26B4" w14:textId="77777777">
        <w:tblPrEx>
          <w:tblCellMar>
            <w:top w:w="0" w:type="dxa"/>
            <w:bottom w:w="0" w:type="dxa"/>
          </w:tblCellMar>
        </w:tblPrEx>
        <w:tc>
          <w:tcPr>
            <w:tcW w:w="9360" w:type="dxa"/>
            <w:tcBorders>
              <w:top w:val="single" w:sz="2" w:space="0" w:color="2E75B6"/>
              <w:left w:val="single" w:sz="12" w:space="0" w:color="2E75B6"/>
              <w:bottom w:val="single" w:sz="2" w:space="0" w:color="2E75B6"/>
              <w:right w:val="single" w:sz="2" w:space="0" w:color="2E75B6"/>
            </w:tcBorders>
            <w:shd w:val="clear" w:color="auto" w:fill="EAF1F8"/>
            <w:tcMar>
              <w:top w:w="140" w:type="dxa"/>
              <w:left w:w="200" w:type="dxa"/>
              <w:bottom w:w="140" w:type="dxa"/>
              <w:right w:w="200" w:type="dxa"/>
            </w:tcMar>
          </w:tcPr>
          <w:p w14:paraId="2A1898A4" w14:textId="77777777" w:rsidR="00EC5854" w:rsidRDefault="00A31518">
            <w:pPr>
              <w:spacing w:after="80"/>
            </w:pPr>
            <w:r>
              <w:rPr>
                <w:b/>
                <w:bCs/>
                <w:color w:val="1F4E79"/>
                <w:sz w:val="20"/>
                <w:szCs w:val="20"/>
              </w:rPr>
              <w:t>The exact wording the lease must contain:</w:t>
            </w:r>
          </w:p>
          <w:p w14:paraId="0CA495B0" w14:textId="77777777" w:rsidR="00EC5854" w:rsidRDefault="00A31518">
            <w:r>
              <w:rPr>
                <w:i/>
                <w:iCs/>
                <w:sz w:val="19"/>
                <w:szCs w:val="19"/>
              </w:rPr>
              <w:t>“This property is not subject to the rent limits imposed by Section 1947.12 of the Civil Code and is not subject to the just cause requirements of Section 1946.2 of the Civil Code. This property meets the requirements of Sections 1947.12 (d)(5) and 1946.2 (e)(8) of the Civil Code and the owner is not any of the following: (1) a real estate investment trust, as defined by Section 856 of the Internal Revenue Code; (2) a corporation; or (3) a limited liability company in which at least one member is a corporat</w:t>
            </w:r>
            <w:r>
              <w:rPr>
                <w:i/>
                <w:iCs/>
                <w:sz w:val="19"/>
                <w:szCs w:val="19"/>
              </w:rPr>
              <w:t>ion.”</w:t>
            </w:r>
          </w:p>
        </w:tc>
      </w:tr>
    </w:tbl>
    <w:p w14:paraId="5D4C8FD8" w14:textId="77777777" w:rsidR="00EC5854" w:rsidRDefault="00A31518">
      <w:pPr>
        <w:spacing w:after="140"/>
      </w:pPr>
      <w:r>
        <w:rPr>
          <w:b/>
          <w:bCs/>
        </w:rPr>
        <w:t xml:space="preserve">Why it matters: </w:t>
      </w:r>
      <w:r>
        <w:t>a wrongful-eviction or improper-increase claim tied to a missing notice routinely settles in the tens of thousands of dollars, with the tenant able to recover damages and attorney’s fees. Confirming one paragraph in the lease is cheap insurance.</w:t>
      </w:r>
    </w:p>
    <w:p w14:paraId="5D37441C" w14:textId="77777777" w:rsidR="00EC5854" w:rsidRDefault="00A31518">
      <w:pPr>
        <w:spacing w:before="220" w:after="100"/>
      </w:pPr>
      <w:r>
        <w:rPr>
          <w:b/>
          <w:bCs/>
          <w:color w:val="B26A00"/>
          <w:sz w:val="26"/>
          <w:szCs w:val="26"/>
        </w:rPr>
        <w:t>Requirement #2: You still cannot freely end a tenancy</w:t>
      </w:r>
    </w:p>
    <w:p w14:paraId="2C3CBC91" w14:textId="77777777" w:rsidR="00EC5854" w:rsidRDefault="00A31518">
      <w:pPr>
        <w:spacing w:after="140"/>
      </w:pPr>
      <w:r>
        <w:t xml:space="preserve">This is the part that surprises most owners. Even when every exemption above is in place, the </w:t>
      </w:r>
      <w:r>
        <w:rPr>
          <w:b/>
          <w:bCs/>
        </w:rPr>
        <w:t>City of Los Angeles Just Cause Ordinance (JCO) still applies to single-family rentals</w:t>
      </w:r>
      <w:r>
        <w:t xml:space="preserve"> (it has </w:t>
      </w:r>
      <w:proofErr w:type="gramStart"/>
      <w:r>
        <w:t>since</w:t>
      </w:r>
      <w:proofErr w:type="gramEnd"/>
      <w:r>
        <w:t xml:space="preserve"> January 27, 2023). “No rent control” does not mean “no eviction rules.” In practical terms:</w:t>
      </w:r>
    </w:p>
    <w:p w14:paraId="311ACAB6" w14:textId="77777777" w:rsidR="00EC5854" w:rsidRDefault="00A31518">
      <w:pPr>
        <w:pStyle w:val="ListParagraph"/>
        <w:numPr>
          <w:ilvl w:val="0"/>
          <w:numId w:val="2"/>
        </w:numPr>
        <w:spacing w:after="90"/>
      </w:pPr>
      <w:r>
        <w:t xml:space="preserve">You need a legal reason — “just cause” — to end a tenancy, once the tenant has lived there at least six months or the first lease has ended (whichever comes first). Reasons are either </w:t>
      </w:r>
      <w:r>
        <w:rPr>
          <w:b/>
          <w:bCs/>
        </w:rPr>
        <w:t>at-fault</w:t>
      </w:r>
      <w:r>
        <w:t xml:space="preserve"> (e.g., nonpayment, lease violation) or </w:t>
      </w:r>
      <w:r>
        <w:rPr>
          <w:b/>
          <w:bCs/>
        </w:rPr>
        <w:t>no-fault</w:t>
      </w:r>
      <w:r>
        <w:t xml:space="preserve"> (e.g., you or a close family member move in, or you remove the home from the rental market).</w:t>
      </w:r>
    </w:p>
    <w:p w14:paraId="6BDF7F42" w14:textId="77777777" w:rsidR="00EC5854" w:rsidRDefault="00A31518">
      <w:pPr>
        <w:pStyle w:val="ListParagraph"/>
        <w:numPr>
          <w:ilvl w:val="0"/>
          <w:numId w:val="2"/>
        </w:numPr>
        <w:spacing w:after="90"/>
      </w:pPr>
      <w:r>
        <w:rPr>
          <w:b/>
          <w:bCs/>
        </w:rPr>
        <w:t xml:space="preserve">No-fault terminations require you to pay relocation assistance. </w:t>
      </w:r>
      <w:r>
        <w:t>Amounts are set by the LA Housing Department and adjust annually — currently roughly $10,650 to $26,550 depending on the length of tenancy and whether the tenant is a senior (62+), disabled, or has minor children. A reduced “Mom-and-Pop” amount is available for an owner/family move-in if you own no more than four units plus a single-family home, usable once every three years.</w:t>
      </w:r>
    </w:p>
    <w:p w14:paraId="7821EA54" w14:textId="77777777" w:rsidR="00EC5854" w:rsidRDefault="00A31518">
      <w:pPr>
        <w:pStyle w:val="ListParagraph"/>
        <w:numPr>
          <w:ilvl w:val="0"/>
          <w:numId w:val="2"/>
        </w:numPr>
        <w:spacing w:after="90"/>
      </w:pPr>
      <w:r>
        <w:rPr>
          <w:b/>
          <w:bCs/>
        </w:rPr>
        <w:t xml:space="preserve">Large rent increases can trigger a payout too. </w:t>
      </w:r>
      <w:r>
        <w:t xml:space="preserve">If you raise the rent above the City’s threshold (around 10%) and the tenant elects to move out instead, an individual owner of a single-family home owes one month’s rent </w:t>
      </w:r>
      <w:proofErr w:type="gramStart"/>
      <w:r>
        <w:t>in</w:t>
      </w:r>
      <w:proofErr w:type="gramEnd"/>
      <w:r>
        <w:t xml:space="preserve"> relocation.</w:t>
      </w:r>
    </w:p>
    <w:p w14:paraId="48279353" w14:textId="77777777" w:rsidR="00EC5854" w:rsidRDefault="00A31518">
      <w:pPr>
        <w:pStyle w:val="ListParagraph"/>
        <w:numPr>
          <w:ilvl w:val="0"/>
          <w:numId w:val="2"/>
        </w:numPr>
        <w:spacing w:after="90"/>
      </w:pPr>
      <w:r>
        <w:t>File every termination notice with the LA Housing Department within three business days of serving it on the tenant — at-fault or no-fault. Missing this filing is itself a defense the tenant can raise.</w:t>
      </w:r>
    </w:p>
    <w:p w14:paraId="314BA5E7" w14:textId="77777777" w:rsidR="00EC5854" w:rsidRDefault="00A31518">
      <w:pPr>
        <w:pStyle w:val="ListParagraph"/>
        <w:numPr>
          <w:ilvl w:val="0"/>
          <w:numId w:val="2"/>
        </w:numPr>
        <w:spacing w:after="90"/>
      </w:pPr>
      <w:r>
        <w:t>There is also a floor on nonpayment evictions: you generally cannot evict for unpaid rent unless the amount owed exceeds the federal Fair Market Rent for a home of that size.</w:t>
      </w:r>
    </w:p>
    <w:p w14:paraId="3E286516" w14:textId="77777777" w:rsidR="00EC5854" w:rsidRDefault="00A31518">
      <w:pPr>
        <w:spacing w:before="220" w:after="100"/>
      </w:pPr>
      <w:r>
        <w:rPr>
          <w:b/>
          <w:bCs/>
          <w:color w:val="1F4E79"/>
          <w:sz w:val="26"/>
          <w:szCs w:val="26"/>
        </w:rPr>
        <w:t>Obligations that apply no matter what</w:t>
      </w:r>
    </w:p>
    <w:p w14:paraId="2EBAD27D" w14:textId="77777777" w:rsidR="00EC5854" w:rsidRDefault="00A31518">
      <w:pPr>
        <w:pStyle w:val="ListParagraph"/>
        <w:numPr>
          <w:ilvl w:val="0"/>
          <w:numId w:val="2"/>
        </w:numPr>
        <w:spacing w:after="90"/>
      </w:pPr>
      <w:r>
        <w:rPr>
          <w:b/>
          <w:bCs/>
        </w:rPr>
        <w:t xml:space="preserve">Working stove and refrigerator. </w:t>
      </w:r>
      <w:r>
        <w:t>As of January 1, 2026 (AB 628), you must provide and maintain an operational stove and refrigerator; a missing or broken appliance can render the unit legally uninhabitable until fixed.</w:t>
      </w:r>
    </w:p>
    <w:p w14:paraId="5029C28D" w14:textId="77777777" w:rsidR="00EC5854" w:rsidRDefault="00A31518">
      <w:pPr>
        <w:pStyle w:val="ListParagraph"/>
        <w:numPr>
          <w:ilvl w:val="0"/>
          <w:numId w:val="2"/>
        </w:numPr>
        <w:spacing w:after="90"/>
      </w:pPr>
      <w:r>
        <w:rPr>
          <w:b/>
          <w:bCs/>
        </w:rPr>
        <w:t xml:space="preserve">Renters’-protections notice. </w:t>
      </w:r>
      <w:r>
        <w:t>Provide the City’s Notice of Renters’ Protections to the tenant at the start or renewal of the tenancy.</w:t>
      </w:r>
    </w:p>
    <w:p w14:paraId="6D197D74" w14:textId="77777777" w:rsidR="00EC5854" w:rsidRDefault="00A31518">
      <w:pPr>
        <w:pStyle w:val="ListParagraph"/>
        <w:numPr>
          <w:ilvl w:val="0"/>
          <w:numId w:val="2"/>
        </w:numPr>
        <w:spacing w:after="90"/>
      </w:pPr>
      <w:r>
        <w:rPr>
          <w:b/>
          <w:bCs/>
        </w:rPr>
        <w:t xml:space="preserve">No harassment. </w:t>
      </w:r>
      <w:r>
        <w:t>The City’s Tenant Anti-Harassment Ordinance applies to every residential unit, including yours; withholding repairs, refusing rent, or pressuring a tenant out can carry penalties.</w:t>
      </w:r>
    </w:p>
    <w:p w14:paraId="05EEAA01" w14:textId="77777777" w:rsidR="00EC5854" w:rsidRDefault="00A31518">
      <w:pPr>
        <w:pStyle w:val="ListParagraph"/>
        <w:numPr>
          <w:ilvl w:val="0"/>
          <w:numId w:val="2"/>
        </w:numPr>
        <w:spacing w:after="90"/>
      </w:pPr>
      <w:r>
        <w:rPr>
          <w:b/>
          <w:bCs/>
        </w:rPr>
        <w:t xml:space="preserve">Proper notice timing for increases. </w:t>
      </w:r>
      <w:r>
        <w:t>30 days’ written notice for an increase of 10% or less; 90 days for more than 10%.</w:t>
      </w:r>
    </w:p>
    <w:p w14:paraId="2FFC9A57" w14:textId="77777777" w:rsidR="00EC5854" w:rsidRDefault="00A31518">
      <w:pPr>
        <w:pStyle w:val="ListParagraph"/>
        <w:numPr>
          <w:ilvl w:val="0"/>
          <w:numId w:val="2"/>
        </w:numPr>
        <w:spacing w:after="90"/>
      </w:pPr>
      <w:r>
        <w:rPr>
          <w:b/>
          <w:bCs/>
        </w:rPr>
        <w:t xml:space="preserve">Security deposit limit. </w:t>
      </w:r>
      <w:r>
        <w:t>State law now generally caps deposits at one month’s rent, with a limited exception allowing up to two months for certain small individual owners — confirm the current rule before collecting.</w:t>
      </w:r>
    </w:p>
    <w:p w14:paraId="08B9DB5E" w14:textId="77777777" w:rsidR="00EC5854" w:rsidRDefault="00A31518">
      <w:pPr>
        <w:spacing w:before="220" w:after="100"/>
      </w:pPr>
      <w:r>
        <w:rPr>
          <w:b/>
          <w:bCs/>
          <w:color w:val="2E7D32"/>
          <w:sz w:val="26"/>
          <w:szCs w:val="26"/>
        </w:rPr>
        <w:t>One thing you do NOT need to worry about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C5854" w14:paraId="641AFABE" w14:textId="77777777">
        <w:tblPrEx>
          <w:tblCellMar>
            <w:top w:w="0" w:type="dxa"/>
            <w:bottom w:w="0" w:type="dxa"/>
          </w:tblCellMar>
        </w:tblPrEx>
        <w:tc>
          <w:tcPr>
            <w:tcW w:w="9360" w:type="dxa"/>
            <w:tcBorders>
              <w:top w:val="single" w:sz="2" w:space="0" w:color="2E7D32"/>
              <w:left w:val="single" w:sz="12" w:space="0" w:color="2E7D32"/>
              <w:bottom w:val="single" w:sz="2" w:space="0" w:color="2E7D32"/>
              <w:right w:val="single" w:sz="2" w:space="0" w:color="2E7D32"/>
            </w:tcBorders>
            <w:shd w:val="clear" w:color="auto" w:fill="E7F2E7"/>
            <w:tcMar>
              <w:top w:w="140" w:type="dxa"/>
              <w:left w:w="200" w:type="dxa"/>
              <w:bottom w:w="140" w:type="dxa"/>
              <w:right w:w="200" w:type="dxa"/>
            </w:tcMar>
          </w:tcPr>
          <w:p w14:paraId="5D215DDE" w14:textId="77777777" w:rsidR="00EC5854" w:rsidRDefault="00A31518">
            <w:r>
              <w:rPr>
                <w:b/>
                <w:bCs/>
                <w:color w:val="2E7D32"/>
              </w:rPr>
              <w:t xml:space="preserve">Measure ULA — the “mansion tax.” </w:t>
            </w:r>
            <w:r>
              <w:t xml:space="preserve">This City transfer tax only applies to sales at or </w:t>
            </w:r>
            <w:proofErr w:type="gramStart"/>
            <w:r>
              <w:t>above about</w:t>
            </w:r>
            <w:proofErr w:type="gramEnd"/>
            <w:r>
              <w:t xml:space="preserve"> $5.3 million (rising to $5.4 million on July 1, 2026). At an estimated $1.5 million value, a future sale of this home would not trigger Measure ULA at all.</w:t>
            </w:r>
          </w:p>
        </w:tc>
      </w:tr>
    </w:tbl>
    <w:p w14:paraId="7A1236D8" w14:textId="77777777" w:rsidR="00EC5854" w:rsidRDefault="00EC5854">
      <w:pPr>
        <w:spacing w:after="60"/>
      </w:pPr>
    </w:p>
    <w:p w14:paraId="27CEE4EC" w14:textId="77777777" w:rsidR="00EC5854" w:rsidRDefault="00A31518">
      <w:pPr>
        <w:spacing w:before="220" w:after="100"/>
      </w:pPr>
      <w:r>
        <w:rPr>
          <w:b/>
          <w:bCs/>
          <w:color w:val="1F4E79"/>
          <w:sz w:val="26"/>
          <w:szCs w:val="26"/>
        </w:rPr>
        <w:t>Your action checklist</w:t>
      </w:r>
    </w:p>
    <w:p w14:paraId="4730ED4D" w14:textId="77777777" w:rsidR="00EC5854" w:rsidRDefault="00A31518">
      <w:pPr>
        <w:pStyle w:val="ListParagraph"/>
        <w:numPr>
          <w:ilvl w:val="0"/>
          <w:numId w:val="3"/>
        </w:numPr>
        <w:spacing w:after="110"/>
      </w:pPr>
      <w:r>
        <w:t xml:space="preserve">Pull the lease and confirm the AB 1482 exemption paragraph above is present and worded exactly. If it’s missing, fix it (new lease, or a 30-day change-of-terms notice </w:t>
      </w:r>
      <w:proofErr w:type="gramStart"/>
      <w:r>
        <w:t>on</w:t>
      </w:r>
      <w:proofErr w:type="gramEnd"/>
      <w:r>
        <w:t xml:space="preserve"> a month-to-month).</w:t>
      </w:r>
    </w:p>
    <w:p w14:paraId="3B0C8C53" w14:textId="77777777" w:rsidR="00EC5854" w:rsidRDefault="00A31518">
      <w:pPr>
        <w:pStyle w:val="ListParagraph"/>
        <w:numPr>
          <w:ilvl w:val="0"/>
          <w:numId w:val="3"/>
        </w:numPr>
        <w:spacing w:after="110"/>
      </w:pPr>
      <w:r>
        <w:t>Confirm the home is held in your name as an individual — or in a trust/LLC with only natural-person members. Corporate ownership erases the exemption.</w:t>
      </w:r>
    </w:p>
    <w:p w14:paraId="6B700E76" w14:textId="77777777" w:rsidR="00EC5854" w:rsidRDefault="00A31518">
      <w:pPr>
        <w:pStyle w:val="ListParagraph"/>
        <w:numPr>
          <w:ilvl w:val="0"/>
          <w:numId w:val="3"/>
        </w:numPr>
        <w:spacing w:after="110"/>
      </w:pPr>
      <w:r>
        <w:t>Make sure the home has a working stove and refrigerator.</w:t>
      </w:r>
    </w:p>
    <w:p w14:paraId="44E7BB8E" w14:textId="77777777" w:rsidR="00EC5854" w:rsidRDefault="00A31518">
      <w:pPr>
        <w:pStyle w:val="ListParagraph"/>
        <w:numPr>
          <w:ilvl w:val="0"/>
          <w:numId w:val="3"/>
        </w:numPr>
        <w:spacing w:after="110"/>
      </w:pPr>
      <w:r>
        <w:t>Before taking any step to end a tenancy or move a family member in, talk to a landlord-tenant attorney first — the just-cause and relocation rules above govern even your single-family home.</w:t>
      </w:r>
    </w:p>
    <w:p w14:paraId="091305A4" w14:textId="77777777" w:rsidR="00EC5854" w:rsidRDefault="00A31518">
      <w:pPr>
        <w:pStyle w:val="ListParagraph"/>
        <w:numPr>
          <w:ilvl w:val="0"/>
          <w:numId w:val="3"/>
        </w:numPr>
        <w:spacing w:after="110"/>
      </w:pPr>
      <w:r>
        <w:t xml:space="preserve">File any termination notice with the LA Housing Department within three business </w:t>
      </w:r>
      <w:proofErr w:type="gramStart"/>
      <w:r>
        <w:t>days, and</w:t>
      </w:r>
      <w:proofErr w:type="gramEnd"/>
      <w:r>
        <w:t xml:space="preserve"> keep rent-increase notices within the 30/90-day timing rules.</w:t>
      </w:r>
    </w:p>
    <w:p w14:paraId="39CC09E5" w14:textId="77777777" w:rsidR="00EC5854" w:rsidRDefault="00A31518">
      <w:pPr>
        <w:pBdr>
          <w:top w:val="single" w:sz="4" w:space="6" w:color="CCCCCC"/>
        </w:pBdr>
        <w:spacing w:before="220"/>
      </w:pPr>
      <w:r>
        <w:rPr>
          <w:i/>
          <w:iCs/>
          <w:color w:val="555555"/>
          <w:sz w:val="16"/>
          <w:szCs w:val="16"/>
        </w:rPr>
        <w:t>This document is a plain-English educational summary current as of mid-2026 and is not legal, tax, or financial advice. Los Angeles housing rules change frequently and turn on specific facts. Verify current amounts and requirements with the LA Housing Department (housing.lacity.gov / 866-557-7368) and confirm your specific situation with a qualified landlord-tenant attorney before acting.</w:t>
      </w:r>
    </w:p>
    <w:sectPr w:rsidR="00EC5854">
      <w:headerReference w:type="default" r:id="rId7"/>
      <w:footerReference w:type="default" r:id="rId8"/>
      <w:pgSz w:w="12240" w:h="15840"/>
      <w:pgMar w:top="1260" w:right="1440" w:bottom="12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3DDAC" w14:textId="77777777" w:rsidR="00A31518" w:rsidRDefault="00A31518">
      <w:r>
        <w:separator/>
      </w:r>
    </w:p>
  </w:endnote>
  <w:endnote w:type="continuationSeparator" w:id="0">
    <w:p w14:paraId="041FE600" w14:textId="77777777" w:rsidR="00A31518" w:rsidRDefault="00A31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7F86" w14:textId="77777777" w:rsidR="00EC5854" w:rsidRDefault="00A31518">
    <w:pPr>
      <w:jc w:val="center"/>
    </w:pPr>
    <w:r>
      <w:rPr>
        <w:color w:val="555555"/>
        <w:sz w:val="16"/>
        <w:szCs w:val="16"/>
      </w:rPr>
      <w:t xml:space="preserve">Educational summary — not legal advice.  Page </w:t>
    </w:r>
    <w:r>
      <w:rPr>
        <w:color w:val="555555"/>
        <w:sz w:val="16"/>
        <w:szCs w:val="16"/>
      </w:rPr>
      <w:fldChar w:fldCharType="begin"/>
    </w:r>
    <w:r>
      <w:rPr>
        <w:color w:val="555555"/>
        <w:sz w:val="16"/>
        <w:szCs w:val="16"/>
      </w:rPr>
      <w:instrText>PAGE</w:instrText>
    </w:r>
    <w:r>
      <w:rPr>
        <w:color w:val="555555"/>
        <w:sz w:val="16"/>
        <w:szCs w:val="16"/>
      </w:rPr>
      <w:fldChar w:fldCharType="separate"/>
    </w:r>
    <w:r>
      <w:rPr>
        <w:color w:val="555555"/>
        <w:sz w:val="16"/>
        <w:szCs w:val="16"/>
      </w:rPr>
      <w:fldChar w:fldCharType="end"/>
    </w:r>
    <w:r>
      <w:rPr>
        <w:color w:val="555555"/>
        <w:sz w:val="16"/>
        <w:szCs w:val="16"/>
      </w:rPr>
      <w:t xml:space="preserve"> of </w:t>
    </w:r>
    <w:r>
      <w:rPr>
        <w:color w:val="555555"/>
        <w:sz w:val="16"/>
        <w:szCs w:val="16"/>
      </w:rPr>
      <w:fldChar w:fldCharType="begin"/>
    </w:r>
    <w:r>
      <w:rPr>
        <w:color w:val="555555"/>
        <w:sz w:val="16"/>
        <w:szCs w:val="16"/>
      </w:rPr>
      <w:instrText>NUMPAGES</w:instrText>
    </w:r>
    <w:r>
      <w:rPr>
        <w:color w:val="555555"/>
        <w:sz w:val="16"/>
        <w:szCs w:val="16"/>
      </w:rPr>
      <w:fldChar w:fldCharType="separate"/>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B7037" w14:textId="77777777" w:rsidR="00A31518" w:rsidRDefault="00A31518">
      <w:r>
        <w:separator/>
      </w:r>
    </w:p>
  </w:footnote>
  <w:footnote w:type="continuationSeparator" w:id="0">
    <w:p w14:paraId="7A07DED9" w14:textId="77777777" w:rsidR="00A31518" w:rsidRDefault="00A31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8AC20" w14:textId="77777777" w:rsidR="00EC5854" w:rsidRDefault="00A31518">
    <w:pPr>
      <w:pBdr>
        <w:bottom w:val="single" w:sz="6" w:space="4" w:color="2E75B6"/>
      </w:pBdr>
      <w:spacing w:after="60"/>
    </w:pPr>
    <w:r>
      <w:rPr>
        <w:color w:val="555555"/>
        <w:sz w:val="16"/>
        <w:szCs w:val="16"/>
      </w:rPr>
      <w:t>Renting Out a Single-Family Home in the City of Los Angeles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2BAA"/>
    <w:multiLevelType w:val="hybridMultilevel"/>
    <w:tmpl w:val="A75E3B7C"/>
    <w:lvl w:ilvl="0" w:tplc="8D14C6E8">
      <w:start w:val="1"/>
      <w:numFmt w:val="decimal"/>
      <w:lvlText w:val="%1."/>
      <w:lvlJc w:val="left"/>
      <w:pPr>
        <w:ind w:left="504" w:hanging="288"/>
      </w:pPr>
    </w:lvl>
    <w:lvl w:ilvl="1" w:tplc="3960A148">
      <w:numFmt w:val="decimal"/>
      <w:lvlText w:val=""/>
      <w:lvlJc w:val="left"/>
    </w:lvl>
    <w:lvl w:ilvl="2" w:tplc="C7B2992E">
      <w:numFmt w:val="decimal"/>
      <w:lvlText w:val=""/>
      <w:lvlJc w:val="left"/>
    </w:lvl>
    <w:lvl w:ilvl="3" w:tplc="12A214C8">
      <w:numFmt w:val="decimal"/>
      <w:lvlText w:val=""/>
      <w:lvlJc w:val="left"/>
    </w:lvl>
    <w:lvl w:ilvl="4" w:tplc="8AB01CC0">
      <w:numFmt w:val="decimal"/>
      <w:lvlText w:val=""/>
      <w:lvlJc w:val="left"/>
    </w:lvl>
    <w:lvl w:ilvl="5" w:tplc="4E1ABA2C">
      <w:numFmt w:val="decimal"/>
      <w:lvlText w:val=""/>
      <w:lvlJc w:val="left"/>
    </w:lvl>
    <w:lvl w:ilvl="6" w:tplc="B6D82A24">
      <w:numFmt w:val="decimal"/>
      <w:lvlText w:val=""/>
      <w:lvlJc w:val="left"/>
    </w:lvl>
    <w:lvl w:ilvl="7" w:tplc="331AE192">
      <w:numFmt w:val="decimal"/>
      <w:lvlText w:val=""/>
      <w:lvlJc w:val="left"/>
    </w:lvl>
    <w:lvl w:ilvl="8" w:tplc="60089E4A">
      <w:numFmt w:val="decimal"/>
      <w:lvlText w:val=""/>
      <w:lvlJc w:val="left"/>
    </w:lvl>
  </w:abstractNum>
  <w:abstractNum w:abstractNumId="1" w15:restartNumberingAfterBreak="0">
    <w:nsid w:val="20E641F4"/>
    <w:multiLevelType w:val="hybridMultilevel"/>
    <w:tmpl w:val="21B4650E"/>
    <w:lvl w:ilvl="0" w:tplc="4B64C50C">
      <w:start w:val="1"/>
      <w:numFmt w:val="bullet"/>
      <w:lvlText w:val="●"/>
      <w:lvlJc w:val="left"/>
      <w:pPr>
        <w:ind w:left="720" w:hanging="360"/>
      </w:pPr>
    </w:lvl>
    <w:lvl w:ilvl="1" w:tplc="D0E68C82">
      <w:start w:val="1"/>
      <w:numFmt w:val="bullet"/>
      <w:lvlText w:val="○"/>
      <w:lvlJc w:val="left"/>
      <w:pPr>
        <w:ind w:left="1440" w:hanging="360"/>
      </w:pPr>
    </w:lvl>
    <w:lvl w:ilvl="2" w:tplc="CF70A726">
      <w:start w:val="1"/>
      <w:numFmt w:val="bullet"/>
      <w:lvlText w:val="■"/>
      <w:lvlJc w:val="left"/>
      <w:pPr>
        <w:ind w:left="2160" w:hanging="360"/>
      </w:pPr>
    </w:lvl>
    <w:lvl w:ilvl="3" w:tplc="0DAE2E60">
      <w:start w:val="1"/>
      <w:numFmt w:val="bullet"/>
      <w:lvlText w:val="●"/>
      <w:lvlJc w:val="left"/>
      <w:pPr>
        <w:ind w:left="2880" w:hanging="360"/>
      </w:pPr>
    </w:lvl>
    <w:lvl w:ilvl="4" w:tplc="6A3AA390">
      <w:start w:val="1"/>
      <w:numFmt w:val="bullet"/>
      <w:lvlText w:val="○"/>
      <w:lvlJc w:val="left"/>
      <w:pPr>
        <w:ind w:left="3600" w:hanging="360"/>
      </w:pPr>
    </w:lvl>
    <w:lvl w:ilvl="5" w:tplc="769A75BA">
      <w:start w:val="1"/>
      <w:numFmt w:val="bullet"/>
      <w:lvlText w:val="■"/>
      <w:lvlJc w:val="left"/>
      <w:pPr>
        <w:ind w:left="4320" w:hanging="360"/>
      </w:pPr>
    </w:lvl>
    <w:lvl w:ilvl="6" w:tplc="F19E0000">
      <w:start w:val="1"/>
      <w:numFmt w:val="bullet"/>
      <w:lvlText w:val="●"/>
      <w:lvlJc w:val="left"/>
      <w:pPr>
        <w:ind w:left="5040" w:hanging="360"/>
      </w:pPr>
    </w:lvl>
    <w:lvl w:ilvl="7" w:tplc="3BB886F6">
      <w:start w:val="1"/>
      <w:numFmt w:val="bullet"/>
      <w:lvlText w:val="●"/>
      <w:lvlJc w:val="left"/>
      <w:pPr>
        <w:ind w:left="5760" w:hanging="360"/>
      </w:pPr>
    </w:lvl>
    <w:lvl w:ilvl="8" w:tplc="28A0F21A">
      <w:start w:val="1"/>
      <w:numFmt w:val="bullet"/>
      <w:lvlText w:val="●"/>
      <w:lvlJc w:val="left"/>
      <w:pPr>
        <w:ind w:left="6480" w:hanging="360"/>
      </w:pPr>
    </w:lvl>
  </w:abstractNum>
  <w:abstractNum w:abstractNumId="2" w15:restartNumberingAfterBreak="0">
    <w:nsid w:val="376E4199"/>
    <w:multiLevelType w:val="hybridMultilevel"/>
    <w:tmpl w:val="89CE30B4"/>
    <w:lvl w:ilvl="0" w:tplc="D4B0FADC">
      <w:start w:val="1"/>
      <w:numFmt w:val="bullet"/>
      <w:lvlText w:val="•"/>
      <w:lvlJc w:val="left"/>
      <w:pPr>
        <w:ind w:left="504" w:hanging="288"/>
      </w:pPr>
    </w:lvl>
    <w:lvl w:ilvl="1" w:tplc="73AE704A">
      <w:numFmt w:val="decimal"/>
      <w:lvlText w:val=""/>
      <w:lvlJc w:val="left"/>
    </w:lvl>
    <w:lvl w:ilvl="2" w:tplc="4574FFEE">
      <w:numFmt w:val="decimal"/>
      <w:lvlText w:val=""/>
      <w:lvlJc w:val="left"/>
    </w:lvl>
    <w:lvl w:ilvl="3" w:tplc="198EAD20">
      <w:numFmt w:val="decimal"/>
      <w:lvlText w:val=""/>
      <w:lvlJc w:val="left"/>
    </w:lvl>
    <w:lvl w:ilvl="4" w:tplc="282204BE">
      <w:numFmt w:val="decimal"/>
      <w:lvlText w:val=""/>
      <w:lvlJc w:val="left"/>
    </w:lvl>
    <w:lvl w:ilvl="5" w:tplc="4C2A3D60">
      <w:numFmt w:val="decimal"/>
      <w:lvlText w:val=""/>
      <w:lvlJc w:val="left"/>
    </w:lvl>
    <w:lvl w:ilvl="6" w:tplc="17742530">
      <w:numFmt w:val="decimal"/>
      <w:lvlText w:val=""/>
      <w:lvlJc w:val="left"/>
    </w:lvl>
    <w:lvl w:ilvl="7" w:tplc="08748998">
      <w:numFmt w:val="decimal"/>
      <w:lvlText w:val=""/>
      <w:lvlJc w:val="left"/>
    </w:lvl>
    <w:lvl w:ilvl="8" w:tplc="054EEE40">
      <w:numFmt w:val="decimal"/>
      <w:lvlText w:val=""/>
      <w:lvlJc w:val="left"/>
    </w:lvl>
  </w:abstractNum>
  <w:num w:numId="1" w16cid:durableId="553154750">
    <w:abstractNumId w:val="1"/>
    <w:lvlOverride w:ilvl="0">
      <w:startOverride w:val="1"/>
    </w:lvlOverride>
  </w:num>
  <w:num w:numId="2" w16cid:durableId="1500734408">
    <w:abstractNumId w:val="2"/>
    <w:lvlOverride w:ilvl="0">
      <w:startOverride w:val="1"/>
    </w:lvlOverride>
  </w:num>
  <w:num w:numId="3" w16cid:durableId="6987768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854"/>
    <w:rsid w:val="00811F16"/>
    <w:rsid w:val="00A31518"/>
    <w:rsid w:val="00EC5854"/>
    <w:rsid w:val="00F90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62895"/>
  <w15:docId w15:val="{675933C5-9079-48C2-9274-67A416FCA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40"/>
      <w:outlineLvl w:val="0"/>
    </w:pPr>
    <w:rPr>
      <w:b/>
      <w:bCs/>
      <w:color w:val="1F4E79"/>
      <w:sz w:val="30"/>
      <w:szCs w:val="3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1070</Words>
  <Characters>6105</Characters>
  <Application>Microsoft Office Word</Application>
  <DocSecurity>0</DocSecurity>
  <Lines>50</Lines>
  <Paragraphs>14</Paragraphs>
  <ScaleCrop>false</ScaleCrop>
  <Company/>
  <LinksUpToDate>false</LinksUpToDate>
  <CharactersWithSpaces>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 Williams</cp:lastModifiedBy>
  <cp:revision>2</cp:revision>
  <dcterms:created xsi:type="dcterms:W3CDTF">2026-06-29T17:58:00Z</dcterms:created>
  <dcterms:modified xsi:type="dcterms:W3CDTF">2026-06-29T17:58:00Z</dcterms:modified>
</cp:coreProperties>
</file>