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37B01" w14:textId="77777777" w:rsidR="00F47046" w:rsidRDefault="00170198" w:rsidP="00F47046">
      <w:pPr>
        <w:spacing w:after="0"/>
        <w:jc w:val="center"/>
        <w:rPr>
          <w:sz w:val="28"/>
          <w:szCs w:val="28"/>
        </w:rPr>
      </w:pPr>
      <w:r w:rsidRPr="00F47046">
        <w:rPr>
          <w:sz w:val="28"/>
          <w:szCs w:val="28"/>
        </w:rPr>
        <w:t>Short Analysis of the SB62 Global Goal on Adaptation</w:t>
      </w:r>
    </w:p>
    <w:p w14:paraId="2EDC0659" w14:textId="608015DC" w:rsidR="00170198" w:rsidRDefault="00170198" w:rsidP="00F47046">
      <w:pPr>
        <w:spacing w:after="0"/>
        <w:jc w:val="center"/>
        <w:rPr>
          <w:sz w:val="28"/>
          <w:szCs w:val="28"/>
        </w:rPr>
      </w:pPr>
      <w:r w:rsidRPr="00F47046">
        <w:rPr>
          <w:sz w:val="28"/>
          <w:szCs w:val="28"/>
        </w:rPr>
        <w:t xml:space="preserve"> Decision</w:t>
      </w:r>
      <w:r w:rsidR="00F47046" w:rsidRPr="00F47046">
        <w:rPr>
          <w:sz w:val="28"/>
          <w:szCs w:val="28"/>
        </w:rPr>
        <w:t xml:space="preserve"> dated </w:t>
      </w:r>
      <w:r w:rsidRPr="00F47046">
        <w:rPr>
          <w:sz w:val="28"/>
          <w:szCs w:val="28"/>
        </w:rPr>
        <w:t>26 June 2025</w:t>
      </w:r>
    </w:p>
    <w:p w14:paraId="74521EF3" w14:textId="77777777" w:rsidR="00F47046" w:rsidRPr="00F47046" w:rsidRDefault="00F47046" w:rsidP="00F47046">
      <w:pPr>
        <w:spacing w:after="0"/>
        <w:jc w:val="center"/>
        <w:rPr>
          <w:sz w:val="28"/>
          <w:szCs w:val="28"/>
        </w:rPr>
      </w:pPr>
    </w:p>
    <w:p w14:paraId="339D9BA4" w14:textId="77777777" w:rsidR="00F47046" w:rsidRDefault="00F47046" w:rsidP="00F47046">
      <w:pPr>
        <w:spacing w:after="0"/>
        <w:jc w:val="center"/>
      </w:pPr>
      <w:r>
        <w:t>Prepared by Andrew Potts of Preserving Legacies</w:t>
      </w:r>
    </w:p>
    <w:p w14:paraId="61584778" w14:textId="703B7252" w:rsidR="00F47046" w:rsidRDefault="00F47046" w:rsidP="00F47046">
      <w:pPr>
        <w:spacing w:after="0"/>
        <w:jc w:val="center"/>
      </w:pPr>
      <w:r>
        <w:t xml:space="preserve"> for the Heritage Adapts to Climate Alliance (HACA)</w:t>
      </w:r>
    </w:p>
    <w:p w14:paraId="271DFFA3" w14:textId="77777777" w:rsidR="00F47046" w:rsidRDefault="00F47046" w:rsidP="00F47046">
      <w:pPr>
        <w:spacing w:after="0"/>
        <w:jc w:val="center"/>
      </w:pPr>
    </w:p>
    <w:p w14:paraId="1C7E1210" w14:textId="77777777" w:rsidR="00F47046" w:rsidRDefault="00F47046" w:rsidP="00F47046">
      <w:pPr>
        <w:spacing w:after="0"/>
        <w:jc w:val="center"/>
      </w:pPr>
    </w:p>
    <w:p w14:paraId="72DEC45F" w14:textId="1A88E72D" w:rsidR="00E939B3" w:rsidRDefault="00170198" w:rsidP="00170198">
      <w:r>
        <w:t xml:space="preserve">On 26 June 2025, just before Midnight (CEST), the </w:t>
      </w:r>
      <w:r w:rsidR="00F56935">
        <w:t xml:space="preserve">UNFCCC Subsidiary Bodies </w:t>
      </w:r>
      <w:hyperlink r:id="rId4" w:history="1">
        <w:r w:rsidRPr="00346126">
          <w:rPr>
            <w:rStyle w:val="Hyperlink"/>
          </w:rPr>
          <w:t>adopted a new decision</w:t>
        </w:r>
      </w:hyperlink>
      <w:r>
        <w:t xml:space="preserve"> that outlines the next steps for indicator development</w:t>
      </w:r>
      <w:r w:rsidR="00E939B3">
        <w:t xml:space="preserve"> under the UAE-Belem Work Programme</w:t>
      </w:r>
      <w:r>
        <w:t xml:space="preserve">. </w:t>
      </w:r>
    </w:p>
    <w:p w14:paraId="0802FC68" w14:textId="671A3136" w:rsidR="00170198" w:rsidRDefault="00170198" w:rsidP="00170198">
      <w:r>
        <w:t xml:space="preserve">In it, the SBs decided to continue the work of experts selected last year by the SB Co-Chairs. This includes the seven Cultural Heritage experts that selected to recommend </w:t>
      </w:r>
      <w:proofErr w:type="gramStart"/>
      <w:r>
        <w:t>indictors</w:t>
      </w:r>
      <w:proofErr w:type="gramEnd"/>
      <w:r>
        <w:t xml:space="preserve"> for measuring progress under the GGA’s cultural heritage thematic target (9g). In the 26 June decision, the Experts for all 11 targets have collectively been asked to reduce the consolidated list of indicator options to no more than 100 (nearly 500 options were put forward in a consolidated list released just before SB62). </w:t>
      </w:r>
    </w:p>
    <w:p w14:paraId="7599DB40" w14:textId="77777777" w:rsidR="00170198" w:rsidRDefault="00170198" w:rsidP="00170198">
      <w:r>
        <w:t xml:space="preserve">These final 100 indicator options are to be “globally applicable, indicators, including, where applicable, indicators for enabling factors for the implementation of adaptation action, means of implementation, cross-cutting considerations” and to be for all subcomponents of the GGA’s targets. [Note: HACA is not in accord with the characterization of the Target 9g subcomponents previously put forward by the Cultural Heritage Expert Group].  </w:t>
      </w:r>
    </w:p>
    <w:p w14:paraId="2A7D0C4E" w14:textId="77777777" w:rsidR="00170198" w:rsidRDefault="00170198" w:rsidP="00170198">
      <w:r>
        <w:t xml:space="preserve">While largely repeating previous instructions to the experts, the new Decision does elaborate on a few points. In reducing and refining the indicators, experts are to </w:t>
      </w:r>
      <w:proofErr w:type="gramStart"/>
      <w:r>
        <w:t>take into account</w:t>
      </w:r>
      <w:proofErr w:type="gramEnd"/>
      <w:r>
        <w:t xml:space="preserve"> the following additional guidance, as appropriate: </w:t>
      </w:r>
    </w:p>
    <w:p w14:paraId="1A4DCF1A" w14:textId="77777777" w:rsidR="00170198" w:rsidRDefault="00170198" w:rsidP="00E939B3">
      <w:pPr>
        <w:ind w:left="1440" w:hanging="720"/>
      </w:pPr>
      <w:r>
        <w:t>(a)</w:t>
      </w:r>
      <w:r>
        <w:tab/>
        <w:t xml:space="preserve">All entries in the final list of potential indicators are to be phrased as measurable indicators rather than </w:t>
      </w:r>
      <w:proofErr w:type="gramStart"/>
      <w:r>
        <w:t>statements;</w:t>
      </w:r>
      <w:proofErr w:type="gramEnd"/>
    </w:p>
    <w:p w14:paraId="360EC5DA" w14:textId="77777777" w:rsidR="00170198" w:rsidRDefault="00170198" w:rsidP="00E939B3">
      <w:pPr>
        <w:ind w:left="1440" w:hanging="720"/>
      </w:pPr>
      <w:r>
        <w:t>(b)</w:t>
      </w:r>
      <w:r>
        <w:tab/>
        <w:t xml:space="preserve">Indicators that describe impacts, exposures or hazards without capturing adaptation relevance are to be </w:t>
      </w:r>
      <w:proofErr w:type="gramStart"/>
      <w:r>
        <w:t>refined;</w:t>
      </w:r>
      <w:proofErr w:type="gramEnd"/>
    </w:p>
    <w:p w14:paraId="6FC918E1" w14:textId="77777777" w:rsidR="00170198" w:rsidRDefault="00170198" w:rsidP="00E939B3">
      <w:pPr>
        <w:ind w:left="1440" w:hanging="720"/>
      </w:pPr>
      <w:r>
        <w:t>(c)</w:t>
      </w:r>
      <w:r>
        <w:tab/>
        <w:t>Existing indicators derived from other conventions and frameworks (e.g. UNESCO, Sendai) are to be made adaptation-</w:t>
      </w:r>
      <w:proofErr w:type="gramStart"/>
      <w:r>
        <w:t>specific;</w:t>
      </w:r>
      <w:proofErr w:type="gramEnd"/>
    </w:p>
    <w:p w14:paraId="10CC6408" w14:textId="77777777" w:rsidR="00170198" w:rsidRDefault="00170198" w:rsidP="00E939B3">
      <w:pPr>
        <w:ind w:left="1440" w:hanging="720"/>
      </w:pPr>
      <w:r>
        <w:t>(d)</w:t>
      </w:r>
      <w:r>
        <w:tab/>
        <w:t xml:space="preserve">Indicators for measuring climate change mitigation are to be </w:t>
      </w:r>
      <w:proofErr w:type="gramStart"/>
      <w:r>
        <w:t>removed;</w:t>
      </w:r>
      <w:proofErr w:type="gramEnd"/>
      <w:r>
        <w:t xml:space="preserve"> </w:t>
      </w:r>
    </w:p>
    <w:p w14:paraId="0C2636CA" w14:textId="77777777" w:rsidR="00170198" w:rsidRDefault="00170198" w:rsidP="00E939B3">
      <w:pPr>
        <w:ind w:left="1440" w:hanging="720"/>
      </w:pPr>
      <w:r>
        <w:t>(e)</w:t>
      </w:r>
      <w:r>
        <w:tab/>
        <w:t xml:space="preserve">Indicators that capture adaptation responses to risks and impacts associated with different warming scenarios in the context of the temperature goal of the Paris Agreement are to be </w:t>
      </w:r>
      <w:proofErr w:type="gramStart"/>
      <w:r>
        <w:t>included;</w:t>
      </w:r>
      <w:proofErr w:type="gramEnd"/>
    </w:p>
    <w:p w14:paraId="3110997B" w14:textId="77777777" w:rsidR="00170198" w:rsidRDefault="00170198" w:rsidP="00E939B3">
      <w:pPr>
        <w:ind w:left="1440" w:hanging="720"/>
      </w:pPr>
      <w:r>
        <w:lastRenderedPageBreak/>
        <w:t>(f)</w:t>
      </w:r>
      <w:r>
        <w:tab/>
        <w:t xml:space="preserve">Qualitative narratives are to be included, where possible, to explain the context behind some of the quantitative </w:t>
      </w:r>
      <w:proofErr w:type="gramStart"/>
      <w:r>
        <w:t>statistics;</w:t>
      </w:r>
      <w:proofErr w:type="gramEnd"/>
    </w:p>
    <w:p w14:paraId="64DCE311" w14:textId="77777777" w:rsidR="00170198" w:rsidRDefault="00170198" w:rsidP="00E939B3">
      <w:pPr>
        <w:ind w:left="1440" w:hanging="720"/>
      </w:pPr>
      <w:r>
        <w:t>(g)</w:t>
      </w:r>
      <w:r>
        <w:tab/>
        <w:t xml:space="preserve">Sub-indicators should capture various contexts of adaptation action, enabling Parties to choose which indicators they will report on in the light of their national </w:t>
      </w:r>
      <w:proofErr w:type="gramStart"/>
      <w:r>
        <w:t>circumstances;</w:t>
      </w:r>
      <w:proofErr w:type="gramEnd"/>
    </w:p>
    <w:p w14:paraId="08FFE5C9" w14:textId="77777777" w:rsidR="00170198" w:rsidRDefault="00170198" w:rsidP="00E939B3">
      <w:pPr>
        <w:ind w:left="1440" w:hanging="720"/>
      </w:pPr>
      <w:r>
        <w:t>(h)</w:t>
      </w:r>
      <w:r>
        <w:tab/>
        <w:t xml:space="preserve">Indicators for means of implementation and other factors that enable the implementation of adaptation action are to be included, and those that are not relevant to the Paris Agreement are to be removed. </w:t>
      </w:r>
    </w:p>
    <w:p w14:paraId="5C1F04FE" w14:textId="77777777" w:rsidR="00170198" w:rsidRDefault="00170198" w:rsidP="00170198">
      <w:r>
        <w:t xml:space="preserve">The Decision includes language noting that the Subsidiary Bodies “agreed that limited data availability should not restrict the development of new indicators that are needed to address gaps, recognizing that additional capacity-building for developing countries may be required for reporting on such indicators.”  This language should benefit targets like cultural heritage which have less available data </w:t>
      </w:r>
      <w:proofErr w:type="gramStart"/>
      <w:r>
        <w:t>that</w:t>
      </w:r>
      <w:proofErr w:type="gramEnd"/>
      <w:r>
        <w:t xml:space="preserve"> some other thematics. </w:t>
      </w:r>
    </w:p>
    <w:p w14:paraId="2D0F6E39" w14:textId="77777777" w:rsidR="00170198" w:rsidRDefault="00170198" w:rsidP="00170198">
      <w:r>
        <w:t>A final list of potential indicators is requested from the experts (along with a final technical report, including information on methodologies) by August 2025. The SBs will organize a hybrid meeting of the experts presumably before August to verify metadata, undertake peer review, resolve redundancies, and conduct quality control checks with a view to standardizing the format of the indicators across the GGA Framework’s 11 targets.</w:t>
      </w:r>
    </w:p>
    <w:p w14:paraId="44045467" w14:textId="53473C7E" w:rsidR="00170198" w:rsidRDefault="00170198" w:rsidP="00170198">
      <w:r>
        <w:t xml:space="preserve">Sometime prior the next meeting of the Subsidiaries Bodies (SB63) in November (parallel with COP30 in Belem, Brazil), the UNFCCC secretariat will organize a mandated workshop where the final indicator options provided by the experts are expected to be examined by national governments. The UNFCCC secretariat is to publish the final technical report, including information on methodologies, and the final list of potential indicators prepared by the experts at least three weeks before this workshop.  </w:t>
      </w:r>
    </w:p>
    <w:p w14:paraId="7526C922" w14:textId="7B5E24C4" w:rsidR="00170198" w:rsidRDefault="00170198" w:rsidP="00170198">
      <w:r>
        <w:t xml:space="preserve">During the first days of COP30 the SBs are expected to adopt final indicator recommendations for further action by COP30.  </w:t>
      </w:r>
      <w:proofErr w:type="gramStart"/>
      <w:r>
        <w:t>The SBs</w:t>
      </w:r>
      <w:proofErr w:type="gramEnd"/>
      <w:r>
        <w:t xml:space="preserve"> may also adopt additional decisions on other dimensions of the operationalization of the Global Goal on Adaptation via a new COP agenda item known as the Baku Adaptation Roadmap (BAR).  This may possibly include other matters relevant to implementing the new indicators (e.g. specific data collection processes).</w:t>
      </w:r>
      <w:r w:rsidR="00346126">
        <w:t xml:space="preserve"> </w:t>
      </w:r>
      <w:r>
        <w:t xml:space="preserve">An </w:t>
      </w:r>
      <w:hyperlink r:id="rId5" w:history="1">
        <w:r w:rsidRPr="00170198">
          <w:rPr>
            <w:rStyle w:val="Hyperlink"/>
          </w:rPr>
          <w:t>informal note</w:t>
        </w:r>
      </w:hyperlink>
      <w:r>
        <w:t xml:space="preserve"> discussing these latter topics was released by the SB62 GGA Co-Facilitators.</w:t>
      </w:r>
    </w:p>
    <w:p w14:paraId="411FECDC" w14:textId="77777777" w:rsidR="007806F7" w:rsidRDefault="007806F7"/>
    <w:sectPr w:rsidR="00780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198"/>
    <w:rsid w:val="00170198"/>
    <w:rsid w:val="00346126"/>
    <w:rsid w:val="0038665F"/>
    <w:rsid w:val="007806F7"/>
    <w:rsid w:val="00B60F4B"/>
    <w:rsid w:val="00C22BBB"/>
    <w:rsid w:val="00E939B3"/>
    <w:rsid w:val="00ED7439"/>
    <w:rsid w:val="00F47046"/>
    <w:rsid w:val="00F5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7B542"/>
  <w15:chartTrackingRefBased/>
  <w15:docId w15:val="{3F20C262-A7D4-4455-8D0E-C3DD29399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198"/>
  </w:style>
  <w:style w:type="paragraph" w:styleId="Heading1">
    <w:name w:val="heading 1"/>
    <w:basedOn w:val="Normal"/>
    <w:next w:val="Normal"/>
    <w:link w:val="Heading1Char"/>
    <w:uiPriority w:val="9"/>
    <w:qFormat/>
    <w:rsid w:val="001701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01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01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01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01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01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01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01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01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1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01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01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01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01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0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0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0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0198"/>
    <w:rPr>
      <w:rFonts w:eastAsiaTheme="majorEastAsia" w:cstheme="majorBidi"/>
      <w:color w:val="272727" w:themeColor="text1" w:themeTint="D8"/>
    </w:rPr>
  </w:style>
  <w:style w:type="paragraph" w:styleId="Title">
    <w:name w:val="Title"/>
    <w:basedOn w:val="Normal"/>
    <w:next w:val="Normal"/>
    <w:link w:val="TitleChar"/>
    <w:uiPriority w:val="10"/>
    <w:qFormat/>
    <w:rsid w:val="00170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0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0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0198"/>
    <w:pPr>
      <w:spacing w:before="160"/>
      <w:jc w:val="center"/>
    </w:pPr>
    <w:rPr>
      <w:i/>
      <w:iCs/>
      <w:color w:val="404040" w:themeColor="text1" w:themeTint="BF"/>
    </w:rPr>
  </w:style>
  <w:style w:type="character" w:customStyle="1" w:styleId="QuoteChar">
    <w:name w:val="Quote Char"/>
    <w:basedOn w:val="DefaultParagraphFont"/>
    <w:link w:val="Quote"/>
    <w:uiPriority w:val="29"/>
    <w:rsid w:val="00170198"/>
    <w:rPr>
      <w:i/>
      <w:iCs/>
      <w:color w:val="404040" w:themeColor="text1" w:themeTint="BF"/>
    </w:rPr>
  </w:style>
  <w:style w:type="paragraph" w:styleId="ListParagraph">
    <w:name w:val="List Paragraph"/>
    <w:basedOn w:val="Normal"/>
    <w:uiPriority w:val="34"/>
    <w:qFormat/>
    <w:rsid w:val="00170198"/>
    <w:pPr>
      <w:ind w:left="720"/>
      <w:contextualSpacing/>
    </w:pPr>
  </w:style>
  <w:style w:type="character" w:styleId="IntenseEmphasis">
    <w:name w:val="Intense Emphasis"/>
    <w:basedOn w:val="DefaultParagraphFont"/>
    <w:uiPriority w:val="21"/>
    <w:qFormat/>
    <w:rsid w:val="00170198"/>
    <w:rPr>
      <w:i/>
      <w:iCs/>
      <w:color w:val="0F4761" w:themeColor="accent1" w:themeShade="BF"/>
    </w:rPr>
  </w:style>
  <w:style w:type="paragraph" w:styleId="IntenseQuote">
    <w:name w:val="Intense Quote"/>
    <w:basedOn w:val="Normal"/>
    <w:next w:val="Normal"/>
    <w:link w:val="IntenseQuoteChar"/>
    <w:uiPriority w:val="30"/>
    <w:qFormat/>
    <w:rsid w:val="001701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0198"/>
    <w:rPr>
      <w:i/>
      <w:iCs/>
      <w:color w:val="0F4761" w:themeColor="accent1" w:themeShade="BF"/>
    </w:rPr>
  </w:style>
  <w:style w:type="character" w:styleId="IntenseReference">
    <w:name w:val="Intense Reference"/>
    <w:basedOn w:val="DefaultParagraphFont"/>
    <w:uiPriority w:val="32"/>
    <w:qFormat/>
    <w:rsid w:val="00170198"/>
    <w:rPr>
      <w:b/>
      <w:bCs/>
      <w:smallCaps/>
      <w:color w:val="0F4761" w:themeColor="accent1" w:themeShade="BF"/>
      <w:spacing w:val="5"/>
    </w:rPr>
  </w:style>
  <w:style w:type="character" w:styleId="Hyperlink">
    <w:name w:val="Hyperlink"/>
    <w:basedOn w:val="DefaultParagraphFont"/>
    <w:uiPriority w:val="99"/>
    <w:unhideWhenUsed/>
    <w:rsid w:val="00170198"/>
    <w:rPr>
      <w:color w:val="467886" w:themeColor="hyperlink"/>
      <w:u w:val="single"/>
    </w:rPr>
  </w:style>
  <w:style w:type="character" w:styleId="UnresolvedMention">
    <w:name w:val="Unresolved Mention"/>
    <w:basedOn w:val="DefaultParagraphFont"/>
    <w:uiPriority w:val="99"/>
    <w:semiHidden/>
    <w:unhideWhenUsed/>
    <w:rsid w:val="00170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eservinglegacies.circle.so/c/haca-resources-wall/sb62-informal-note-on-matters-relating-to-the-global-goal-on-adaptation-prepared-by-the-co-facilitators-14ffd2eb-14ce-4b8e-b5f9-b895c0b762db" TargetMode="External"/><Relationship Id="rId4" Type="http://schemas.openxmlformats.org/officeDocument/2006/relationships/hyperlink" Target="https://preservinglegacies.circle.so/c/haca-resources-wall/sb62-final-decision-on-matters-relating-to-the-global-goal-on-adaptation-d0eb369a-ee48-42f7-8d75-e10d964d290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4286</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Potts</dc:creator>
  <cp:keywords/>
  <dc:description/>
  <cp:lastModifiedBy>Andrew Potts</cp:lastModifiedBy>
  <cp:revision>2</cp:revision>
  <dcterms:created xsi:type="dcterms:W3CDTF">2025-07-25T14:51:00Z</dcterms:created>
  <dcterms:modified xsi:type="dcterms:W3CDTF">2025-07-25T14:51:00Z</dcterms:modified>
</cp:coreProperties>
</file>