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4FB3" w14:textId="77777777" w:rsidR="00530516" w:rsidRDefault="00530516" w:rsidP="0053051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3"/>
        <w:jc w:val="center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04B22398" w14:textId="77777777" w:rsidR="00633296" w:rsidRDefault="00633296" w:rsidP="0053051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3"/>
        <w:jc w:val="center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6DB69D83" w14:textId="0AEBDA3E" w:rsidR="00530516" w:rsidRDefault="005D6C6A" w:rsidP="0053051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3"/>
        <w:jc w:val="center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>
        <w:rPr>
          <w:rFonts w:ascii="Arial" w:hAnsi="Arial" w:cs="Arial"/>
          <w:w w:val="105"/>
          <w:kern w:val="0"/>
          <w:sz w:val="20"/>
          <w:szCs w:val="20"/>
          <w:lang w:val="en-GB"/>
        </w:rPr>
        <w:t xml:space="preserve">Menu Approach to an Indicator for </w:t>
      </w:r>
      <w:r w:rsidR="00633296">
        <w:rPr>
          <w:rFonts w:ascii="Arial" w:hAnsi="Arial" w:cs="Arial"/>
          <w:w w:val="105"/>
          <w:kern w:val="0"/>
          <w:sz w:val="20"/>
          <w:szCs w:val="20"/>
          <w:lang w:val="en-GB"/>
        </w:rPr>
        <w:t xml:space="preserve">GGA Framework Target 9(g) </w:t>
      </w:r>
    </w:p>
    <w:p w14:paraId="6697E687" w14:textId="77777777" w:rsidR="00530516" w:rsidRDefault="00530516" w:rsidP="0053051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1F013078" w14:textId="3A648B43" w:rsid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w w:val="105"/>
          <w:kern w:val="0"/>
          <w:sz w:val="20"/>
          <w:szCs w:val="20"/>
        </w:rPr>
      </w:pPr>
      <w:r w:rsidRPr="005D6C6A">
        <w:rPr>
          <w:rFonts w:ascii="Arial" w:hAnsi="Arial" w:cs="Arial"/>
          <w:w w:val="105"/>
          <w:kern w:val="0"/>
          <w:sz w:val="20"/>
          <w:szCs w:val="20"/>
        </w:rPr>
        <w:t xml:space="preserve">HACA has proposed a single indicator for each of the two sub-targets of Target 9(g), responding to the admonition to pay attention to ease of data collection. However, because of the complexities of measuring progress on protecting cultural heritage, </w:t>
      </w:r>
      <w:r>
        <w:rPr>
          <w:rFonts w:ascii="Arial" w:hAnsi="Arial" w:cs="Arial"/>
          <w:w w:val="105"/>
          <w:kern w:val="0"/>
          <w:sz w:val="20"/>
          <w:szCs w:val="20"/>
        </w:rPr>
        <w:t xml:space="preserve">HACA indicated in its earlier UNFCCC submissions it’s belief that 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 xml:space="preserve">a </w:t>
      </w:r>
      <w:r>
        <w:rPr>
          <w:rFonts w:ascii="Arial" w:hAnsi="Arial" w:cs="Arial"/>
          <w:w w:val="105"/>
          <w:kern w:val="0"/>
          <w:sz w:val="20"/>
          <w:szCs w:val="20"/>
        </w:rPr>
        <w:t>“menu” or “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>checklist</w:t>
      </w:r>
      <w:r>
        <w:rPr>
          <w:rFonts w:ascii="Arial" w:hAnsi="Arial" w:cs="Arial"/>
          <w:w w:val="105"/>
          <w:kern w:val="0"/>
          <w:sz w:val="20"/>
          <w:szCs w:val="20"/>
        </w:rPr>
        <w:t>”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 xml:space="preserve"> </w:t>
      </w:r>
      <w:r>
        <w:rPr>
          <w:rFonts w:ascii="Arial" w:hAnsi="Arial" w:cs="Arial"/>
          <w:w w:val="105"/>
          <w:kern w:val="0"/>
          <w:sz w:val="20"/>
          <w:szCs w:val="20"/>
        </w:rPr>
        <w:t>could p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>rovide a good approach to measuring progress towards the thematic target of paragraph 9g.</w:t>
      </w:r>
      <w:r w:rsidRPr="005D6C6A">
        <w:t xml:space="preserve"> </w:t>
      </w:r>
      <w:r>
        <w:t xml:space="preserve">Such a menu could 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 xml:space="preserve">perhaps </w:t>
      </w:r>
      <w:r>
        <w:rPr>
          <w:rFonts w:ascii="Arial" w:hAnsi="Arial" w:cs="Arial"/>
          <w:w w:val="105"/>
          <w:kern w:val="0"/>
          <w:sz w:val="20"/>
          <w:szCs w:val="20"/>
        </w:rPr>
        <w:t xml:space="preserve">be offered 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>as a supplement</w:t>
      </w:r>
      <w:r>
        <w:rPr>
          <w:rFonts w:ascii="Arial" w:hAnsi="Arial" w:cs="Arial"/>
          <w:w w:val="105"/>
          <w:kern w:val="0"/>
          <w:sz w:val="20"/>
          <w:szCs w:val="20"/>
        </w:rPr>
        <w:t xml:space="preserve"> to a simpler “top line” </w:t>
      </w:r>
      <w:proofErr w:type="gramStart"/>
      <w:r w:rsidRPr="005D6C6A">
        <w:rPr>
          <w:rFonts w:ascii="Arial" w:hAnsi="Arial" w:cs="Arial"/>
          <w:w w:val="105"/>
          <w:kern w:val="0"/>
          <w:sz w:val="20"/>
          <w:szCs w:val="20"/>
        </w:rPr>
        <w:t>indicators</w:t>
      </w:r>
      <w:proofErr w:type="gramEnd"/>
      <w:r>
        <w:rPr>
          <w:rFonts w:ascii="Arial" w:hAnsi="Arial" w:cs="Arial"/>
          <w:w w:val="105"/>
          <w:kern w:val="0"/>
          <w:sz w:val="20"/>
          <w:szCs w:val="20"/>
        </w:rPr>
        <w:t xml:space="preserve">. </w:t>
      </w:r>
    </w:p>
    <w:p w14:paraId="22D7799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</w:rPr>
      </w:pPr>
    </w:p>
    <w:p w14:paraId="0BAD2CB6" w14:textId="7A614259" w:rsid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</w:rPr>
      </w:pPr>
      <w:r w:rsidRPr="005D6C6A">
        <w:rPr>
          <w:rFonts w:ascii="Arial" w:hAnsi="Arial" w:cs="Arial"/>
          <w:w w:val="105"/>
          <w:kern w:val="0"/>
          <w:sz w:val="20"/>
          <w:szCs w:val="20"/>
        </w:rPr>
        <w:t xml:space="preserve">Possible Elements for Inclusion in a </w:t>
      </w:r>
      <w:r>
        <w:rPr>
          <w:rFonts w:ascii="Arial" w:hAnsi="Arial" w:cs="Arial"/>
          <w:w w:val="105"/>
          <w:kern w:val="0"/>
          <w:sz w:val="20"/>
          <w:szCs w:val="20"/>
        </w:rPr>
        <w:t xml:space="preserve">Menu 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>Appr</w:t>
      </w:r>
      <w:r>
        <w:rPr>
          <w:rFonts w:ascii="Arial" w:hAnsi="Arial" w:cs="Arial"/>
          <w:w w:val="105"/>
          <w:kern w:val="0"/>
          <w:sz w:val="20"/>
          <w:szCs w:val="20"/>
        </w:rPr>
        <w:t>oa</w:t>
      </w:r>
      <w:r w:rsidRPr="005D6C6A">
        <w:rPr>
          <w:rFonts w:ascii="Arial" w:hAnsi="Arial" w:cs="Arial"/>
          <w:w w:val="105"/>
          <w:kern w:val="0"/>
          <w:sz w:val="20"/>
          <w:szCs w:val="20"/>
        </w:rPr>
        <w:t>ch:</w:t>
      </w:r>
    </w:p>
    <w:p w14:paraId="1D9C972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</w:rPr>
      </w:pPr>
    </w:p>
    <w:p w14:paraId="0D98EFA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u w:val="single"/>
          <w:lang w:val="en-GB"/>
        </w:rPr>
        <w:t>Direct indicators</w:t>
      </w: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:</w:t>
      </w:r>
    </w:p>
    <w:p w14:paraId="3F2F841C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1CEBEBDC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Number/proportion of heritage sites/cultural practices that have received place-specific</w:t>
      </w:r>
    </w:p>
    <w:p w14:paraId="21C4078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climate vulnerability &amp; resilience assessment.</w:t>
      </w:r>
    </w:p>
    <w:p w14:paraId="786281A3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Percentage of heritage sites/cultural practices with implemented climate adaptation</w:t>
      </w:r>
    </w:p>
    <w:p w14:paraId="76144D1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measures (successful adaptation and maladaptation).</w:t>
      </w:r>
    </w:p>
    <w:p w14:paraId="03DF37F7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Frequency of monitoring and evaluation of adaptive strategies at heritage sites.</w:t>
      </w:r>
    </w:p>
    <w:p w14:paraId="2572BDE6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Existence and implementation of inclusive, locally-led processes for identifying/inventorying cultural practices/values and heritage sites.</w:t>
      </w:r>
    </w:p>
    <w:p w14:paraId="3DEBD8C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heritage buildings retrofitted with climate-resilient materials or technologies</w:t>
      </w:r>
    </w:p>
    <w:p w14:paraId="1BE7206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Area (in square meters) of historic landscapes adapted for improved water management</w:t>
      </w:r>
    </w:p>
    <w:p w14:paraId="0CD3FE45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Percentage reduction or increase in climate-related damage to heritage sites after</w:t>
      </w:r>
    </w:p>
    <w:p w14:paraId="3BCE5C8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implementation of adaptive measures.</w:t>
      </w:r>
    </w:p>
    <w:p w14:paraId="76C0A179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Amount of funding secured for climate adaptation projects for heritage sites/cultural</w:t>
      </w:r>
    </w:p>
    <w:p w14:paraId="56FF9784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practices.</w:t>
      </w:r>
    </w:p>
    <w:p w14:paraId="266486D6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jobs created through implementation of adaptive strategies for cultural heritage.</w:t>
      </w:r>
    </w:p>
    <w:p w14:paraId="79957816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Cost savings from preventive adaptive measures compared to post-disaster restoration for</w:t>
      </w:r>
    </w:p>
    <w:p w14:paraId="762CD49B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heritage places.</w:t>
      </w:r>
    </w:p>
    <w:p w14:paraId="30E53ED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community members trained in plural knowledge-based adaptive techniques</w:t>
      </w:r>
    </w:p>
    <w:p w14:paraId="65A778D1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(integration of different knowledge systems).</w:t>
      </w:r>
    </w:p>
    <w:p w14:paraId="64D2E029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Percentage of local population involved in decision-making for heritage adaptation plans.</w:t>
      </w:r>
    </w:p>
    <w:p w14:paraId="08EE76D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awareness programs conducted on climate risks to cultural heritage.</w:t>
      </w:r>
    </w:p>
    <w:p w14:paraId="3F52BA53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policies or regulations updated to include cultural heritage in climate adaptation</w:t>
      </w:r>
    </w:p>
    <w:p w14:paraId="63C2EB46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plans.</w:t>
      </w:r>
    </w:p>
    <w:p w14:paraId="47C8D69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Existence of dedicated budget lines for heritage climate adaptation in national/local budgets.</w:t>
      </w:r>
    </w:p>
    <w:p w14:paraId="7EDC2EF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cross-sectoral partnerships formed for implementing adaptive strategies.</w:t>
      </w:r>
    </w:p>
    <w:p w14:paraId="6003E0EC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Frequency of climate risk or vulnerability assessments for heritage places.</w:t>
      </w:r>
    </w:p>
    <w:p w14:paraId="0FD8BA5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heritage places with real-time environmental monitoring systems installed.</w:t>
      </w:r>
    </w:p>
    <w:p w14:paraId="08717812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Percentage of adaptive strategy projects with regular evaluation and reporting mechanisms.</w:t>
      </w:r>
    </w:p>
    <w:p w14:paraId="0418039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heritage professionals and community leaders trained in conducting a climate risk assessment and on climate adaptation techniques tailored to their needs (for their heritage places)</w:t>
      </w:r>
    </w:p>
    <w:p w14:paraId="284D678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Quantity of research projects focused on innovative/plural knowledge adaptive strategies for heritage globally, regionally, nationally, or locally.</w:t>
      </w:r>
    </w:p>
    <w:p w14:paraId="3C8A8DE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international collaborations on heritage climate adaptation.</w:t>
      </w:r>
    </w:p>
    <w:p w14:paraId="2A7380A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2C1C8D45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u w:val="single"/>
          <w:lang w:val="en-GB"/>
        </w:rPr>
        <w:t>Indirect indicators</w:t>
      </w: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:</w:t>
      </w:r>
    </w:p>
    <w:p w14:paraId="5E6465C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4CA1A211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Total number of heritage places that are officially listed and protected.</w:t>
      </w:r>
    </w:p>
    <w:p w14:paraId="6FD33C0A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Frequency and comprehensiveness of condition assessment reports for listed monuments.</w:t>
      </w:r>
    </w:p>
    <w:p w14:paraId="15B351FB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lastRenderedPageBreak/>
        <w:t>● Number of new heritage places identified and added to the official inventory each year.</w:t>
      </w:r>
    </w:p>
    <w:p w14:paraId="1B5CD7E3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historic buildings undergoing restoration or maintenance annually.</w:t>
      </w:r>
    </w:p>
    <w:p w14:paraId="53D2E0C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Amount of funding allocated for conservation efforts of historic places.</w:t>
      </w:r>
    </w:p>
    <w:p w14:paraId="5C07014C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training programs and workshops on climate change (vulnerability, risk and</w:t>
      </w:r>
    </w:p>
    <w:p w14:paraId="13C99ED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adaptation) conducted for conservation professionals.</w:t>
      </w:r>
    </w:p>
    <w:p w14:paraId="38E097D2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and variety of climate-cultural activities held at events, and festivals at heritage</w:t>
      </w:r>
    </w:p>
    <w:p w14:paraId="1B2D1FB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places.</w:t>
      </w:r>
    </w:p>
    <w:p w14:paraId="2D2693D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Increase in the number of visitors and community members participating in climate-cultural</w:t>
      </w:r>
    </w:p>
    <w:p w14:paraId="3C014E5B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heritage activities.</w:t>
      </w:r>
    </w:p>
    <w:p w14:paraId="1927D0F4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Frequency and reach of campaigns aimed at raising awareness about the climate risk to</w:t>
      </w:r>
    </w:p>
    <w:p w14:paraId="2787D697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cultural heritage.</w:t>
      </w:r>
    </w:p>
    <w:p w14:paraId="2140304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environmental impact assessments conducted for heritage places.</w:t>
      </w:r>
    </w:p>
    <w:p w14:paraId="3689E4D2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Increase in the area of green spaces around heritage places.</w:t>
      </w:r>
    </w:p>
    <w:p w14:paraId="631C26E0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projects implemented to enhance the resilience of heritage landscapes to</w:t>
      </w:r>
    </w:p>
    <w:p w14:paraId="4A0C505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different threats.</w:t>
      </w:r>
    </w:p>
    <w:p w14:paraId="5573FCB1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initiatives aimed at engaging local communities in preserving cultural heritage.</w:t>
      </w:r>
    </w:p>
    <w:p w14:paraId="5DB1E445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projects documenting and preserving oral histories related to cultural heritage.</w:t>
      </w:r>
    </w:p>
    <w:p w14:paraId="0C8F2055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educational programs focusing on the cultural history and significance of heritage places.</w:t>
      </w:r>
    </w:p>
    <w:p w14:paraId="69D81A9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stakeholders (government, NGOs, local communities) actively involved in</w:t>
      </w:r>
    </w:p>
    <w:p w14:paraId="22821304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heritage protection initiatives.</w:t>
      </w:r>
    </w:p>
    <w:p w14:paraId="73203E57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collaborative projects between different stakeholders aimed at protecting cultural heritage.</w:t>
      </w:r>
    </w:p>
    <w:p w14:paraId="37049128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Implementation and usage rate of feedback mechanisms for public and stakeholder input on heritage conservation efforts.</w:t>
      </w:r>
    </w:p>
    <w:p w14:paraId="4541879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stakeholders (government, NGOs, local communities) actively involved in</w:t>
      </w:r>
    </w:p>
    <w:p w14:paraId="7DFC9B4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heritage protection initiatives.</w:t>
      </w:r>
    </w:p>
    <w:p w14:paraId="5EDED02F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  <w:r w:rsidRPr="005D6C6A">
        <w:rPr>
          <w:rFonts w:ascii="Arial" w:hAnsi="Arial" w:cs="Arial"/>
          <w:w w:val="105"/>
          <w:kern w:val="0"/>
          <w:sz w:val="20"/>
          <w:szCs w:val="20"/>
          <w:lang w:val="en-GB"/>
        </w:rPr>
        <w:t>● Number of collaborative projects between different stakeholders aimed at protecting cultural heritage.</w:t>
      </w:r>
    </w:p>
    <w:p w14:paraId="24E5749E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11B78733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48CA730A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19AC135D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796F8A42" w14:textId="77777777" w:rsidR="005D6C6A" w:rsidRPr="005D6C6A" w:rsidRDefault="005D6C6A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w w:val="105"/>
          <w:kern w:val="0"/>
          <w:sz w:val="20"/>
          <w:szCs w:val="20"/>
          <w:lang w:val="en-GB"/>
        </w:rPr>
      </w:pPr>
    </w:p>
    <w:p w14:paraId="488B3C85" w14:textId="564BBF04" w:rsidR="00D02E71" w:rsidRPr="00633296" w:rsidRDefault="00D02E71" w:rsidP="005D6C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lang w:val="en-GB"/>
        </w:rPr>
      </w:pPr>
    </w:p>
    <w:sectPr w:rsidR="00D02E71" w:rsidRPr="00633296" w:rsidSect="00633296">
      <w:headerReference w:type="default" r:id="rId8"/>
      <w:headerReference w:type="first" r:id="rId9"/>
      <w:type w:val="continuous"/>
      <w:pgSz w:w="12240" w:h="15840" w:code="1"/>
      <w:pgMar w:top="1440" w:right="1080" w:bottom="1440" w:left="108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23EF" w14:textId="77777777" w:rsidR="007B616E" w:rsidRDefault="007B616E" w:rsidP="002C6B80">
      <w:pPr>
        <w:spacing w:after="0" w:line="240" w:lineRule="auto"/>
      </w:pPr>
      <w:r>
        <w:separator/>
      </w:r>
    </w:p>
  </w:endnote>
  <w:endnote w:type="continuationSeparator" w:id="0">
    <w:p w14:paraId="42D601A6" w14:textId="77777777" w:rsidR="007B616E" w:rsidRDefault="007B616E" w:rsidP="002C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D0D8E" w14:textId="77777777" w:rsidR="007B616E" w:rsidRDefault="007B616E" w:rsidP="002C6B80">
      <w:pPr>
        <w:spacing w:after="0" w:line="240" w:lineRule="auto"/>
      </w:pPr>
      <w:r>
        <w:separator/>
      </w:r>
    </w:p>
  </w:footnote>
  <w:footnote w:type="continuationSeparator" w:id="0">
    <w:p w14:paraId="796E2EAE" w14:textId="77777777" w:rsidR="007B616E" w:rsidRDefault="007B616E" w:rsidP="002C6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4507" w14:textId="320F8FDF" w:rsidR="00633296" w:rsidRDefault="00633296" w:rsidP="0063329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41F1" w14:textId="62424310" w:rsidR="00633296" w:rsidRDefault="00633296" w:rsidP="00633296">
    <w:pPr>
      <w:pStyle w:val="Header"/>
      <w:jc w:val="center"/>
    </w:pPr>
    <w:r>
      <w:rPr>
        <w:noProof/>
      </w:rPr>
      <w:drawing>
        <wp:inline distT="0" distB="0" distL="0" distR="0" wp14:anchorId="2313A663" wp14:editId="76C2AD8A">
          <wp:extent cx="2346405" cy="1090736"/>
          <wp:effectExtent l="0" t="0" r="0" b="0"/>
          <wp:docPr id="1613284842" name="Picture 4" descr="A logo with colorful circles and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284842" name="Picture 4" descr="A logo with colorful circles and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6429" cy="1095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●"/>
      <w:lvlJc w:val="left"/>
      <w:pPr>
        <w:ind w:left="113" w:hanging="677"/>
      </w:pPr>
      <w:rPr>
        <w:rFonts w:ascii="Arial" w:hAnsi="Arial" w:cs="Arial"/>
        <w:b w:val="0"/>
        <w:bCs w:val="0"/>
        <w:i w:val="0"/>
        <w:iCs w:val="0"/>
        <w:spacing w:val="0"/>
        <w:w w:val="103"/>
        <w:sz w:val="20"/>
        <w:szCs w:val="20"/>
      </w:rPr>
    </w:lvl>
    <w:lvl w:ilvl="1">
      <w:numFmt w:val="bullet"/>
      <w:lvlText w:val="○"/>
      <w:lvlJc w:val="left"/>
      <w:pPr>
        <w:ind w:left="1469" w:hanging="339"/>
      </w:pPr>
      <w:rPr>
        <w:rFonts w:ascii="Arial" w:hAnsi="Arial" w:cs="Arial"/>
        <w:b w:val="0"/>
        <w:bCs w:val="0"/>
        <w:i w:val="0"/>
        <w:iCs w:val="0"/>
        <w:spacing w:val="0"/>
        <w:w w:val="103"/>
        <w:sz w:val="20"/>
        <w:szCs w:val="20"/>
      </w:rPr>
    </w:lvl>
    <w:lvl w:ilvl="2">
      <w:numFmt w:val="bullet"/>
      <w:lvlText w:val="•"/>
      <w:lvlJc w:val="left"/>
      <w:pPr>
        <w:ind w:left="2342" w:hanging="339"/>
      </w:pPr>
    </w:lvl>
    <w:lvl w:ilvl="3">
      <w:numFmt w:val="bullet"/>
      <w:lvlText w:val="•"/>
      <w:lvlJc w:val="left"/>
      <w:pPr>
        <w:ind w:left="3224" w:hanging="339"/>
      </w:pPr>
    </w:lvl>
    <w:lvl w:ilvl="4">
      <w:numFmt w:val="bullet"/>
      <w:lvlText w:val="•"/>
      <w:lvlJc w:val="left"/>
      <w:pPr>
        <w:ind w:left="4106" w:hanging="339"/>
      </w:pPr>
    </w:lvl>
    <w:lvl w:ilvl="5">
      <w:numFmt w:val="bullet"/>
      <w:lvlText w:val="•"/>
      <w:lvlJc w:val="left"/>
      <w:pPr>
        <w:ind w:left="4988" w:hanging="339"/>
      </w:pPr>
    </w:lvl>
    <w:lvl w:ilvl="6">
      <w:numFmt w:val="bullet"/>
      <w:lvlText w:val="•"/>
      <w:lvlJc w:val="left"/>
      <w:pPr>
        <w:ind w:left="5871" w:hanging="339"/>
      </w:pPr>
    </w:lvl>
    <w:lvl w:ilvl="7">
      <w:numFmt w:val="bullet"/>
      <w:lvlText w:val="•"/>
      <w:lvlJc w:val="left"/>
      <w:pPr>
        <w:ind w:left="6753" w:hanging="339"/>
      </w:pPr>
    </w:lvl>
    <w:lvl w:ilvl="8">
      <w:numFmt w:val="bullet"/>
      <w:lvlText w:val="•"/>
      <w:lvlJc w:val="left"/>
      <w:pPr>
        <w:ind w:left="7635" w:hanging="339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○"/>
      <w:lvlJc w:val="left"/>
      <w:pPr>
        <w:ind w:left="1469" w:hanging="339"/>
      </w:pPr>
      <w:rPr>
        <w:rFonts w:ascii="Arial" w:hAnsi="Arial" w:cs="Arial"/>
        <w:b w:val="0"/>
        <w:bCs w:val="0"/>
        <w:i w:val="0"/>
        <w:iCs w:val="0"/>
        <w:spacing w:val="0"/>
        <w:w w:val="103"/>
        <w:sz w:val="20"/>
        <w:szCs w:val="20"/>
      </w:rPr>
    </w:lvl>
    <w:lvl w:ilvl="1">
      <w:numFmt w:val="bullet"/>
      <w:lvlText w:val="•"/>
      <w:lvlJc w:val="left"/>
      <w:pPr>
        <w:ind w:left="2254" w:hanging="339"/>
      </w:pPr>
    </w:lvl>
    <w:lvl w:ilvl="2">
      <w:numFmt w:val="bullet"/>
      <w:lvlText w:val="•"/>
      <w:lvlJc w:val="left"/>
      <w:pPr>
        <w:ind w:left="3048" w:hanging="339"/>
      </w:pPr>
    </w:lvl>
    <w:lvl w:ilvl="3">
      <w:numFmt w:val="bullet"/>
      <w:lvlText w:val="•"/>
      <w:lvlJc w:val="left"/>
      <w:pPr>
        <w:ind w:left="3842" w:hanging="339"/>
      </w:pPr>
    </w:lvl>
    <w:lvl w:ilvl="4">
      <w:numFmt w:val="bullet"/>
      <w:lvlText w:val="•"/>
      <w:lvlJc w:val="left"/>
      <w:pPr>
        <w:ind w:left="4636" w:hanging="339"/>
      </w:pPr>
    </w:lvl>
    <w:lvl w:ilvl="5">
      <w:numFmt w:val="bullet"/>
      <w:lvlText w:val="•"/>
      <w:lvlJc w:val="left"/>
      <w:pPr>
        <w:ind w:left="5430" w:hanging="339"/>
      </w:pPr>
    </w:lvl>
    <w:lvl w:ilvl="6">
      <w:numFmt w:val="bullet"/>
      <w:lvlText w:val="•"/>
      <w:lvlJc w:val="left"/>
      <w:pPr>
        <w:ind w:left="6224" w:hanging="339"/>
      </w:pPr>
    </w:lvl>
    <w:lvl w:ilvl="7">
      <w:numFmt w:val="bullet"/>
      <w:lvlText w:val="•"/>
      <w:lvlJc w:val="left"/>
      <w:pPr>
        <w:ind w:left="7018" w:hanging="339"/>
      </w:pPr>
    </w:lvl>
    <w:lvl w:ilvl="8">
      <w:numFmt w:val="bullet"/>
      <w:lvlText w:val="•"/>
      <w:lvlJc w:val="left"/>
      <w:pPr>
        <w:ind w:left="7812" w:hanging="339"/>
      </w:pPr>
    </w:lvl>
  </w:abstractNum>
  <w:abstractNum w:abstractNumId="2" w15:restartNumberingAfterBreak="0">
    <w:nsid w:val="0B8E6BD7"/>
    <w:multiLevelType w:val="hybridMultilevel"/>
    <w:tmpl w:val="E2186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225175">
    <w:abstractNumId w:val="1"/>
  </w:num>
  <w:num w:numId="2" w16cid:durableId="1576167155">
    <w:abstractNumId w:val="0"/>
  </w:num>
  <w:num w:numId="3" w16cid:durableId="601690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16"/>
    <w:rsid w:val="00174430"/>
    <w:rsid w:val="002C6B80"/>
    <w:rsid w:val="00494A30"/>
    <w:rsid w:val="00530516"/>
    <w:rsid w:val="005D6C6A"/>
    <w:rsid w:val="00633296"/>
    <w:rsid w:val="007B616E"/>
    <w:rsid w:val="00833E33"/>
    <w:rsid w:val="00B63598"/>
    <w:rsid w:val="00C27E9F"/>
    <w:rsid w:val="00C84941"/>
    <w:rsid w:val="00D02E71"/>
    <w:rsid w:val="00D24746"/>
    <w:rsid w:val="00E14D0B"/>
    <w:rsid w:val="00E93B1F"/>
    <w:rsid w:val="00F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5E5A6"/>
  <w15:chartTrackingRefBased/>
  <w15:docId w15:val="{B1EDF9FD-ACC9-4550-8704-0D4C64EE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5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5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5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5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5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5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5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5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5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5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51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6B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6B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6B8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33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296"/>
  </w:style>
  <w:style w:type="paragraph" w:styleId="Footer">
    <w:name w:val="footer"/>
    <w:basedOn w:val="Normal"/>
    <w:link w:val="FooterChar"/>
    <w:uiPriority w:val="99"/>
    <w:unhideWhenUsed/>
    <w:rsid w:val="00633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0EB8-E8D1-43C4-A8F2-DE6F19B6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Potts</dc:creator>
  <cp:keywords/>
  <dc:description/>
  <cp:lastModifiedBy>Andrew Potts</cp:lastModifiedBy>
  <cp:revision>3</cp:revision>
  <dcterms:created xsi:type="dcterms:W3CDTF">2025-03-13T11:47:00Z</dcterms:created>
  <dcterms:modified xsi:type="dcterms:W3CDTF">2025-03-13T11:52:00Z</dcterms:modified>
</cp:coreProperties>
</file>