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5E6B" w:val="clear"/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AADDDD"/>
                <w:sz w:val="18"/>
                <w:szCs w:val="18"/>
              </w:rPr>
              <w:t xml:space="preserve">SMPL MORTGAGE  |  GENERATIONAL LENDING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The Fall Risk Briefing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i/>
                <w:iCs/>
                <w:color w:val="DDEEEE"/>
                <w:sz w:val="24"/>
                <w:szCs w:val="24"/>
              </w:rPr>
              <w:t xml:space="preserve">What the Data Says About Health Decline After a Fall — and Why It Matters for Retirement Planning</w:t>
            </w:r>
          </w:p>
          <w:p>
            <w:r>
              <w:rPr>
                <w:rFonts w:ascii="Arial" w:cs="Arial" w:eastAsia="Arial" w:hAnsi="Arial"/>
                <w:color w:val="AACCCC"/>
                <w:sz w:val="19"/>
                <w:szCs w:val="19"/>
              </w:rPr>
              <w:t xml:space="preserve">Prepared for the SMPL Reverse Mortgage HIVE  |  2025</w:t>
            </w:r>
          </w:p>
        </w:tc>
      </w:tr>
    </w:tbl>
    <w:p>
      <w:pPr>
        <w:spacing w:after="0" w:before="24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Why Falls Are a Retirement Planning Event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Most advisors think of a fall as a medical event. The data says it is a financial one.</w:t>
      </w:r>
    </w:p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A single fall among adults 65+ often triggers a cascade: hospitalization, loss of function, fear of falling, reduced activity, accelerated muscle and bone loss, and a second fall. For many clients, that first fall is the moment housing wealth becomes urgently relevant — and the moment a HECM conversation is no longer optional.</w:t>
      </w:r>
    </w:p>
    <w:p>
      <w:pPr>
        <w:spacing w:after="0" w:before="8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This briefing compiles the evidence-based statistics on post-fall health decline. Share it with advisors, clients, and referral partners who need to understand why proactive planning matters.</w:t>
      </w:r>
    </w:p>
    <w:p>
      <w:pPr>
        <w:spacing w:after="0" w:before="20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The Scale of the Problem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45.7M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New falls globally among adults 65+ in 2021 — a 182% increase since 1990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Global Burden of Disease Study 2021 / npj Aging, 2025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1 in 4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Adults 65+ in the U.S. fall each year; 37% of those result in injury requiring medical care or limiting activity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CDC Older Adult Falls Data, 2024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~9M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Fall-related injuries in the U.S. annually that require medical care or cause activity limitations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CDC / GBD 2021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684,000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Annual fall-related deaths globally — the second leading cause of unintentional injury death worldwide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WHO, Step Safely, 2021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+2.95%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Annual increase in U.S. fall-related mortality rate from 1990–2021 — among the highest in the world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GBD Study 2021 / npj Aging, 2025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Post-Fall Health Decline: The Cascade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What happens after a fall is often more consequential than the fall itself.</w:t>
      </w:r>
    </w:p>
    <w:p>
      <w:pPr>
        <w:spacing w:after="0" w:before="120"/>
      </w:pPr>
      <w:r>
        <w:t xml:space="preserve"/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C8922A"/>
          <w:sz w:val="24"/>
          <w:szCs w:val="24"/>
        </w:rPr>
        <w:t xml:space="preserve">Mortality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20–30% of older adults hospitalized for a hip fracture die within one year.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(JAMA, multiple meta-analyses)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Fall-related deaths among older adults increased 174% from 1990 to 2021 — even as other injury categories improved.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(GBD 2021)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Men who fall experience higher mortality rates despite falling less frequently, often due to head trauma, cardiac complications, and lower rates of seeking post-fall care.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(npj Aging, 2025)</w:t>
      </w:r>
    </w:p>
    <w:p>
      <w:pPr>
        <w:spacing w:after="0" w:before="80"/>
      </w:pPr>
      <w:r>
        <w:t xml:space="preserve"/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C8922A"/>
          <w:sz w:val="24"/>
          <w:szCs w:val="24"/>
        </w:rPr>
        <w:t xml:space="preserve">Loss of Function and Independence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50% of older adults hospitalized for a fall-related hip fracture never return to their prior level of function.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(Osteoporosis International; multiple cohort studies)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Functional independence declines measurably within weeks of fall-related hospitalization in adults 75+.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(Journal of the American Geriatrics Society)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Hip fracture survivors are 5× more likely to require long-term care facility placement.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(Archives of Internal Medicine)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 in 5 hip fracture patients enter a nursing home within one year.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(CDC Falls Data)</w:t>
      </w:r>
    </w:p>
    <w:p>
      <w:pPr>
        <w:spacing w:after="0" w:before="80"/>
      </w:pPr>
      <w:r>
        <w:t xml:space="preserve"/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C8922A"/>
          <w:sz w:val="24"/>
          <w:szCs w:val="24"/>
        </w:rPr>
        <w:t xml:space="preserve">The Fear-of-Falling Cycle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Up to 50% of older adults who fall develop a fear of falling — even when no injury occurs.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(Preventive Medicine)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Fear of falling leads to self-imposed activity restriction, reduced social engagement, and accelerated physical deconditioning.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(Journal of Gerontology)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Activity restriction from fear of falling is itself an independent predictor of future falls, creating a self-reinforcing cycle.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(American Journal of Epidemiology)</w:t>
      </w:r>
    </w:p>
    <w:p>
      <w:pPr>
        <w:spacing w:after="0" w:before="80"/>
      </w:pPr>
      <w:r>
        <w:t xml:space="preserve"/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C8922A"/>
          <w:sz w:val="24"/>
          <w:szCs w:val="24"/>
        </w:rPr>
        <w:t xml:space="preserve">Repeat Falls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Adults who fall once are 2–3× more likely to fall again within the same year.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(Cochrane Reviews; CDC)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Repeat fallers account for a disproportionate share of fall-related hospitalizations and healthcare costs.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(Journal of the American Geriatrics Society)</w:t>
      </w:r>
    </w:p>
    <w:p>
      <w:pPr>
        <w:spacing w:after="0" w:before="80"/>
      </w:pPr>
      <w:r>
        <w:t xml:space="preserve"/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C8922A"/>
          <w:sz w:val="24"/>
          <w:szCs w:val="24"/>
        </w:rPr>
        <w:t xml:space="preserve">Cognitive and Psychological Decline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Fall-related injuries are associated with accelerated cognitive decline, particularly in adults already showing early impairment.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(Neurology; The Lancet)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Hospitalization following a fall is a common trigger for delirium, which in older adults is associated with 1-year mortality rates of 25–33%.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(JAMA Internal Medicine)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Depression and social isolation following a fall compound physical decline and increase care dependency.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(Age and Ageing)</w:t>
      </w:r>
    </w:p>
    <w:p>
      <w:pPr>
        <w:spacing w:after="0" w:before="20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Key Risk Factors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Risk is not random. These are the modifiable and non-modifiable factors with the strongest evidence base.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MODIFIABLE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8922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NON-MODIFIABLE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Low bone mineral density (#1 globally)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Muscle weakness / sarcopenia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Polypharmacy / psychotropic medications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Vision impairment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Alcohol use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Hazardous home environment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Malnutrition / vitamin D deficiency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Physical inactivity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Age (risk peaks at 95+)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Female sex (higher incidence)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Male sex (higher mortality)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Prior fall history (2–3× repeat risk)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Postmenopausal estrogen decline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Multimorbidity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The Financial Impact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$50B+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Annual medical costs of fall injuries among adults 65+ in the U.S.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Florence et al., Journal of the American Geriatrics Society, 2018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$30,000+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Average hospital cost of a fall-related hip fracture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CDC / Agency for Healthcare Research and Quality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5×</w:t>
            </w:r>
          </w:p>
        </w:tc>
        <w:tc>
          <w:tcPr>
            <w:tcW w:type="dxa" w:w="7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Greater likelihood of nursing home placement following a hip fracture</w:t>
            </w:r>
          </w:p>
          <w:p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Archives of Internal Medicine</w:t>
            </w:r>
          </w:p>
        </w:tc>
      </w:tr>
    </w:tbl>
    <w:p>
      <w:pPr>
        <w:spacing w:after="0" w:before="80"/>
      </w:pPr>
      <w:r>
        <w:t xml:space="preserve"/>
      </w:r>
    </w:p>
    <w:p>
      <w:pPr>
        <w:pBdr>
          <w:left w:val="single" w:color="C8922A" w:sz="20" w:space="10"/>
        </w:pBdr>
        <w:spacing w:after="160" w:before="160"/>
        <w:ind w:left="400"/>
      </w:pPr>
      <w:r>
        <w:rPr>
          <w:rFonts w:ascii="Arial" w:cs="Arial" w:eastAsia="Arial" w:hAnsi="Arial"/>
          <w:b/>
          <w:bCs/>
          <w:i/>
          <w:iCs/>
          <w:color w:val="1B5E6B"/>
          <w:sz w:val="24"/>
          <w:szCs w:val="24"/>
        </w:rPr>
        <w:t xml:space="preserve">For many older adults, a single fall is the financial event that converts a planned retirement into a reactive one.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Home equity — typically the largest asset on a retiree’s balance sheet — is often liquidated under pressure after a fall, rather than deployed as part of a coordinated retirement income strategy. A proactive HECM Line of Credit, established before a health event, preserves optionality and removes the urgency from the asset liquidation decision.</w:t>
      </w:r>
    </w:p>
    <w:p>
      <w:pPr>
        <w:spacing w:after="0" w:before="20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Evidence-Based Prevention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These interventions have the strongest evidence base for reducing fall risk and severity:</w:t>
      </w:r>
    </w:p>
    <w:p>
      <w:pPr>
        <w:spacing w:after="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Balance and strength training (Otago Exercise Programme, Tai Chi) — reduces fall incidence by 20–40%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(Cochrane Review, 2020)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Home safety modifications (grab bars, improved lighting, trip hazard removal)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(Clemson et al., Cochrane, 2023)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Medication review to reduce polypharmacy and psychotropic use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(World Fall Prevention Guidelines, 2022)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Vision correction and regular eye exams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(Zhang et al., Scientific Reports, 2015)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Osteoporosis treatment: calcium, vitamin D, bisphosphonates for high-risk individuals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(Wei et al., Frontiers in Endocrinology, 2022)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Multifactorial interventions combining the above consistently outperform single-component programs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(Lee &amp; Yu, International Journal of Nursing Studies, 2020)</w:t>
      </w:r>
    </w:p>
    <w:p>
      <w:pPr>
        <w:spacing w:after="0" w:before="20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Retirement Planning Implications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color w:val="333333"/>
          <w:sz w:val="22"/>
          <w:szCs w:val="22"/>
        </w:rPr>
        <w:t xml:space="preserve">The connection between fall risk and retirement income strategy is direct and underappreciated.</w:t>
      </w:r>
    </w:p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5E6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WITHOUT PROACTIVE PLANNING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8922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WITH A HECM LINE OF CREDIT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Home equity liquidated under pressure post-fall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Care costs disrupt investment portfolio sequence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Housing decisions made reactively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Family caregiver burden increases without financial buffer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Credit line grows tax-free until needed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Portfolio remains intact during care cost years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Housing decisions made by choice, not crisis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Liquidity buffer reduces family financial stress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pStyle w:val="Heading1"/>
        <w:spacing w:after="120" w:before="320"/>
      </w:pPr>
      <w:r>
        <w:rPr>
          <w:rFonts w:ascii="Arial" w:cs="Arial" w:eastAsia="Arial" w:hAnsi="Arial"/>
          <w:b/>
          <w:bCs/>
          <w:color w:val="1B5E6B"/>
          <w:sz w:val="28"/>
          <w:szCs w:val="28"/>
        </w:rPr>
        <w:t xml:space="preserve">Sources &amp; References</w:t>
      </w:r>
    </w:p>
    <w:p>
      <w:pPr>
        <w:pBdr>
          <w:bottom w:val="single" w:color="1B5E6B" w:sz="12" w:space="1"/>
        </w:pBdr>
        <w:spacing w:after="180" w:before="60"/>
      </w:pPr>
      <w:r>
        <w:t xml:space="preserve"/>
      </w:r>
    </w:p>
    <w:p>
      <w:pPr>
        <w:spacing w:after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Chen Y, Dai F, et al. Global, regional, and national burden of falls among older adults: findings from the Global Burden of Disease Study 2021 and Projections to 2040. npj Aging. 2025;11:85.</w:t>
      </w:r>
    </w:p>
    <w:p>
      <w:pPr>
        <w:spacing w:after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CDC. Older Adult Falls Data. https://www.cdc.gov/falls/data-research/index.html (October 2024).</w:t>
      </w:r>
    </w:p>
    <w:p>
      <w:pPr>
        <w:spacing w:after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WHO. Step Safely: Strategies for Preventing and Managing Falls Across the Life-course. World Health Organization, 2021.</w:t>
      </w:r>
    </w:p>
    <w:p>
      <w:pPr>
        <w:spacing w:after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Florence CS, et al. Medical costs of fatal and nonfatal falls in older adults. J Am Geriatr Soc. 2018;66:693–698.</w:t>
      </w:r>
    </w:p>
    <w:p>
      <w:pPr>
        <w:spacing w:after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Guirguis-Blake JM, et al. Interventions to prevent falls in older adults. JAMA. 2024;332:58–69.</w:t>
      </w:r>
    </w:p>
    <w:p>
      <w:pPr>
        <w:spacing w:after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Montero-Odasso M, et al. World guidelines for falls prevention and management for older adults. Age Ageing. 2022;51:afac205.</w:t>
      </w:r>
    </w:p>
    <w:p>
      <w:pPr>
        <w:spacing w:after="8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Lee SH &amp; Yu S. Effectiveness of multifactorial interventions in preventing falls among older adults. Int J Nurs Stud. 2020;106:103564.</w:t>
      </w:r>
    </w:p>
    <w:p>
      <w:pPr>
        <w:spacing w:after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Ambrose AF, Paul G, Hausdorff JM. Risk factors for falls among older adults: a review of the literature. Maturitas. 2013;75:51–61.</w:t>
      </w:r>
    </w:p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0E4" w:val="clear"/>
            <w:tcMar>
              <w:top w:type="dxa" w:w="240"/>
              <w:left w:type="dxa" w:w="360"/>
              <w:bottom w:type="dxa" w:w="240"/>
              <w:right w:type="dxa" w:w="360"/>
            </w:tcMar>
          </w:tcPr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color w:val="1B5E6B"/>
                <w:sz w:val="22"/>
                <w:szCs w:val="22"/>
              </w:rPr>
              <w:t xml:space="preserve">SMPL Mortgage — Generational Lending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i/>
                <w:iCs/>
                <w:color w:val="C8922A"/>
                <w:sz w:val="20"/>
                <w:szCs w:val="20"/>
              </w:rPr>
              <w:t xml:space="preserve">Teaching First. Earning Second.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888888"/>
                <w:sz w:val="19"/>
                <w:szCs w:val="19"/>
              </w:rPr>
              <w:t xml:space="preserve">smplmortgage.com  |  DBA of C2 Financial Corp.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SMPL Mortgage — Generational Lending  |  smplmortgage.com  | 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B5E6B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C8922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3404DCAF2204E92B6E820B5DBB2A8" ma:contentTypeVersion="19" ma:contentTypeDescription="Create a new document." ma:contentTypeScope="" ma:versionID="60343e552e5b495b9fc3bf42ed322c83">
  <xsd:schema xmlns:xsd="http://www.w3.org/2001/XMLSchema" xmlns:xs="http://www.w3.org/2001/XMLSchema" xmlns:p="http://schemas.microsoft.com/office/2006/metadata/properties" xmlns:ns2="fe287e46-8a12-4fc7-8461-0b533ee71a28" xmlns:ns3="ab4a7ed9-8be6-4e08-a2e1-0ac7a546b354" targetNamespace="http://schemas.microsoft.com/office/2006/metadata/properties" ma:root="true" ma:fieldsID="8bc531c6eb6dc5dd514901b2583ac238" ns2:_="" ns3:_="">
    <xsd:import namespace="fe287e46-8a12-4fc7-8461-0b533ee71a28"/>
    <xsd:import namespace="ab4a7ed9-8be6-4e08-a2e1-0ac7a546b35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87e46-8a12-4fc7-8461-0b533ee71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51e4c6-6cc7-42b8-adfc-23dc85831f86}" ma:internalName="TaxCatchAll" ma:showField="CatchAllData" ma:web="fe287e46-8a12-4fc7-8461-0b533ee71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a7ed9-8be6-4e08-a2e1-0ac7a546b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16acf41-a1de-4cd4-b3b8-0ec51a5498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287e46-8a12-4fc7-8461-0b533ee71a28" xsi:nil="true"/>
    <lcf76f155ced4ddcb4097134ff3c332f xmlns="ab4a7ed9-8be6-4e08-a2e1-0ac7a546b3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786E3C-FBB2-46F0-8EDE-00688D047F8E}"/>
</file>

<file path=customXml/itemProps2.xml><?xml version="1.0" encoding="utf-8"?>
<ds:datastoreItem xmlns:ds="http://schemas.openxmlformats.org/officeDocument/2006/customXml" ds:itemID="{FD6A1AB5-F488-4981-AC86-499181AB5F38}"/>
</file>

<file path=customXml/itemProps3.xml><?xml version="1.0" encoding="utf-8"?>
<ds:datastoreItem xmlns:ds="http://schemas.openxmlformats.org/officeDocument/2006/customXml" ds:itemID="{4BAB9470-366D-47C3-B19D-696996A2A3C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2026-06-17T22:24:03Z</dcterms:created>
  <dcterms:modified xsi:type="dcterms:W3CDTF">2026-06-17T22:24:03Z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0x010100F683404DCAF2204E92B6E820B5DBB2A8</vt:lpwstr>
  </property>
</Properties>
</file>