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2E86C1"/>
          <w:spacing w:val="16"/>
          <w:sz w:val="18"/>
          <w:szCs w:val="18"/>
        </w:rPr>
        <w:t xml:space="preserve">CERTIFIED LIABILITY ADVISOR™</w:t>
      </w:r>
    </w:p>
    <w:p>
      <w:pPr>
        <w:spacing w:after="70"/>
      </w:pPr>
      <w:r>
        <w:rPr>
          <w:b/>
          <w:bCs/>
          <w:color w:val="003366"/>
          <w:sz w:val="32"/>
          <w:szCs w:val="32"/>
        </w:rPr>
        <w:t xml:space="preserve">Why Liability Management Belongs in Retirement Planning</w:t>
      </w:r>
    </w:p>
    <w:p>
      <w:pPr>
        <w:spacing w:after="260"/>
      </w:pPr>
      <w:r>
        <w:rPr>
          <w:i/>
          <w:iCs/>
          <w:color w:val="666666"/>
          <w:sz w:val="19"/>
          <w:szCs w:val="19"/>
        </w:rPr>
        <w:t xml:space="preserve">A framework for financial advisors, CPAs, and estate planners</w:t>
      </w:r>
    </w:p>
    <w:p>
      <w:pPr>
        <w:pBdr>
          <w:bottom w:val="single" w:color="2E86C1" w:sz="6" w:space="4"/>
        </w:pBdr>
        <w:spacing w:after="130" w:before="260"/>
      </w:pPr>
      <w:r>
        <w:rPr>
          <w:b/>
          <w:bCs/>
          <w:color w:val="003366"/>
          <w:spacing w:val="12"/>
          <w:sz w:val="21"/>
          <w:szCs w:val="21"/>
        </w:rPr>
        <w:t xml:space="preserve">THE GAP</w:t>
      </w:r>
    </w:p>
    <w:p>
      <w:pPr>
        <w:spacing w:after="160" w:line="300"/>
      </w:pPr>
      <w:r>
        <w:rPr>
          <w:b w:val="false"/>
          <w:bCs w:val="false"/>
          <w:i w:val="false"/>
          <w:iCs w:val="false"/>
          <w:color w:val="333333"/>
          <w:sz w:val="20"/>
          <w:szCs w:val="20"/>
        </w:rPr>
        <w:t xml:space="preserve">Most financial planning manages one side of the balance sheet — assets. Investments, retirement accounts, savings. The liability side — mortgage structure, home equity, monthly debt obligations — is treated as fixed, not planned. For many retirees, that's the largest financial decision in the household, sitting outside the plan.</w:t>
      </w:r>
    </w:p>
    <w:p>
      <w:pPr>
        <w:pBdr>
          <w:bottom w:val="single" w:color="2E86C1" w:sz="6" w:space="4"/>
        </w:pBdr>
        <w:spacing w:after="130" w:before="260"/>
      </w:pPr>
      <w:r>
        <w:rPr>
          <w:b/>
          <w:bCs/>
          <w:color w:val="003366"/>
          <w:spacing w:val="12"/>
          <w:sz w:val="21"/>
          <w:szCs w:val="21"/>
        </w:rPr>
        <w:t xml:space="preserve">THE REFRAME: BORROW SMART → REPAY SMART</w:t>
      </w:r>
    </w:p>
    <w:p>
      <w:pPr>
        <w:spacing w:after="130" w:line="300"/>
      </w:pPr>
      <w:r>
        <w:rPr>
          <w:b w:val="false"/>
          <w:bCs w:val="false"/>
          <w:i w:val="false"/>
          <w:iCs w:val="false"/>
          <w:color w:val="333333"/>
          <w:sz w:val="20"/>
          <w:szCs w:val="20"/>
        </w:rPr>
        <w:t xml:space="preserve">A Certified Liability Advisor applies the same rigor to debt that you apply to assets — two questions, asked in order.</w:t>
      </w:r>
    </w:p>
    <w:p>
      <w:pPr>
        <w:pStyle w:val="ListParagraph"/>
        <w:numPr>
          <w:ilvl w:val="0"/>
          <w:numId w:val="1"/>
        </w:numPr>
        <w:spacing w:after="110" w:line="290"/>
      </w:pPr>
      <w:r>
        <w:rPr>
          <w:b w:val="false"/>
          <w:bCs w:val="false"/>
          <w:color w:val="333333"/>
          <w:sz w:val="19"/>
          <w:szCs w:val="19"/>
        </w:rPr>
        <w:t xml:space="preserve">Borrow Smart: Is the mortgage structured to fit the client's goals — rate, term, and type — not just approved at a good rate?</w:t>
      </w:r>
    </w:p>
    <w:p>
      <w:pPr>
        <w:pStyle w:val="ListParagraph"/>
        <w:numPr>
          <w:ilvl w:val="0"/>
          <w:numId w:val="1"/>
        </w:numPr>
        <w:spacing w:after="110" w:line="290"/>
      </w:pPr>
      <w:r>
        <w:rPr>
          <w:b w:val="false"/>
          <w:bCs w:val="false"/>
          <w:color w:val="333333"/>
          <w:sz w:val="19"/>
          <w:szCs w:val="19"/>
        </w:rPr>
        <w:t xml:space="preserve">Repay Smart: Once in place, how should it be managed over time — accelerated payoff, maintained for liquidity, or restructured?</w:t>
      </w:r>
    </w:p>
    <w:p>
      <w:pPr>
        <w:spacing w:after="100" w:line="300"/>
      </w:pPr>
      <w:r>
        <w:rPr>
          <w:b/>
          <w:bCs/>
          <w:i w:val="false"/>
          <w:iCs w:val="false"/>
          <w:color w:val="333333"/>
          <w:sz w:val="20"/>
          <w:szCs w:val="20"/>
        </w:rPr>
        <w:t xml:space="preserve">The goal is not to eliminate debt as fast as possible. The goal is to optimize it.</w:t>
      </w:r>
    </w:p>
    <w:p>
      <w:pPr>
        <w:pBdr>
          <w:bottom w:val="single" w:color="2E86C1" w:sz="6" w:space="4"/>
        </w:pBdr>
        <w:spacing w:after="130" w:before="260"/>
      </w:pPr>
      <w:r>
        <w:rPr>
          <w:b/>
          <w:bCs/>
          <w:color w:val="003366"/>
          <w:spacing w:val="12"/>
          <w:sz w:val="21"/>
          <w:szCs w:val="21"/>
        </w:rPr>
        <w:t xml:space="preserve">FOUR RETIREMENT RISKS HOME EQUITY TOUCHES</w:t>
      </w:r>
    </w:p>
    <w:tbl>
      <w:tblPr>
        <w:tblW w:type="dxa" w:w="108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5400"/>
        <w:gridCol w:w="5400"/>
      </w:tblGrid>
      <w:tr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A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50"/>
            </w:pPr>
            <w:r>
              <w:rPr>
                <w:b/>
                <w:bCs/>
                <w:color w:val="1A5276"/>
                <w:sz w:val="19"/>
                <w:szCs w:val="19"/>
              </w:rPr>
              <w:t xml:space="preserve">Longevity Risk</w:t>
            </w:r>
          </w:p>
          <w:p>
            <w:pPr>
              <w:spacing w:line="260"/>
            </w:pPr>
            <w:r>
              <w:rPr>
                <w:color w:val="333333"/>
                <w:sz w:val="17"/>
                <w:szCs w:val="17"/>
              </w:rPr>
              <w:t xml:space="preserve">Will assets last as long as the client? Fixed obligations get harder to carry the longer retirement runs.</w:t>
            </w:r>
          </w:p>
        </w:tc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A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50"/>
            </w:pPr>
            <w:r>
              <w:rPr>
                <w:b/>
                <w:bCs/>
                <w:color w:val="1A5276"/>
                <w:sz w:val="19"/>
                <w:szCs w:val="19"/>
              </w:rPr>
              <w:t xml:space="preserve">Market Risk</w:t>
            </w:r>
          </w:p>
          <w:p>
            <w:pPr>
              <w:spacing w:line="260"/>
            </w:pPr>
            <w:r>
              <w:rPr>
                <w:color w:val="333333"/>
                <w:sz w:val="17"/>
                <w:szCs w:val="17"/>
              </w:rPr>
              <w:t xml:space="preserve">A downturn early in retirement can permanently damage recovery. Forced withdrawals to cover a payment compound the damage.</w:t>
            </w:r>
          </w:p>
        </w:tc>
      </w:tr>
      <w:tr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A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50"/>
            </w:pPr>
            <w:r>
              <w:rPr>
                <w:b/>
                <w:bCs/>
                <w:color w:val="1A5276"/>
                <w:sz w:val="19"/>
                <w:szCs w:val="19"/>
              </w:rPr>
              <w:t xml:space="preserve">Inflation Risk</w:t>
            </w:r>
          </w:p>
          <w:p>
            <w:pPr>
              <w:spacing w:line="260"/>
            </w:pPr>
            <w:r>
              <w:rPr>
                <w:color w:val="333333"/>
                <w:sz w:val="17"/>
                <w:szCs w:val="17"/>
              </w:rPr>
              <w:t xml:space="preserve">Fixed income loses purchasing power over time. A mortgage payment doesn't shrink with it.</w:t>
            </w:r>
          </w:p>
        </w:tc>
        <w:tc>
          <w:tcPr>
            <w:tcW w:type="dxa" w:w="5400"/>
            <w:tcBorders>
              <w:top w:val="single" w:color="D9D9D9" w:sz="4"/>
              <w:left w:val="single" w:color="D9D9D9" w:sz="4"/>
              <w:bottom w:val="single" w:color="D9D9D9" w:sz="4"/>
              <w:right w:val="single" w:color="D9D9D9" w:sz="4"/>
            </w:tcBorders>
            <w:shd w:fill="F7FAFC" w:color="auto" w:val="clear"/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spacing w:after="50"/>
            </w:pPr>
            <w:r>
              <w:rPr>
                <w:b/>
                <w:bCs/>
                <w:color w:val="1A5276"/>
                <w:sz w:val="19"/>
                <w:szCs w:val="19"/>
              </w:rPr>
              <w:t xml:space="preserve">Liquidity Risk</w:t>
            </w:r>
          </w:p>
          <w:p>
            <w:pPr>
              <w:spacing w:line="260"/>
            </w:pPr>
            <w:r>
              <w:rPr>
                <w:color w:val="333333"/>
                <w:sz w:val="17"/>
                <w:szCs w:val="17"/>
              </w:rPr>
              <w:t xml:space="preserve">A household can be wealthy on paper and cash-poor in practice, with no plan to access home equity.</w:t>
            </w:r>
          </w:p>
        </w:tc>
      </w:tr>
    </w:tbl>
    <w:p>
      <w:pPr>
        <w:pBdr>
          <w:bottom w:val="single" w:color="2E86C1" w:sz="6" w:space="4"/>
        </w:pBdr>
        <w:spacing w:after="130" w:before="260"/>
      </w:pPr>
      <w:r>
        <w:rPr>
          <w:b/>
          <w:bCs/>
          <w:color w:val="003366"/>
          <w:spacing w:val="12"/>
          <w:sz w:val="21"/>
          <w:szCs w:val="21"/>
        </w:rPr>
        <w:t xml:space="preserve">HOW WE WORK TOGETHER</w:t>
      </w:r>
    </w:p>
    <w:p>
      <w:pPr>
        <w:pStyle w:val="ListParagraph"/>
        <w:numPr>
          <w:ilvl w:val="0"/>
          <w:numId w:val="1"/>
        </w:numPr>
        <w:spacing w:after="110" w:line="290"/>
      </w:pPr>
      <w:r>
        <w:rPr>
          <w:b w:val="false"/>
          <w:bCs w:val="false"/>
          <w:color w:val="333333"/>
          <w:sz w:val="19"/>
          <w:szCs w:val="19"/>
        </w:rPr>
        <w:t xml:space="preserve">Second opinion: send a client's mortgage details — get a clear read on whether it's helping or hurting the plan.</w:t>
      </w:r>
    </w:p>
    <w:p>
      <w:pPr>
        <w:pStyle w:val="ListParagraph"/>
        <w:numPr>
          <w:ilvl w:val="0"/>
          <w:numId w:val="1"/>
        </w:numPr>
        <w:spacing w:after="110" w:line="290"/>
      </w:pPr>
      <w:r>
        <w:rPr>
          <w:b w:val="false"/>
          <w:bCs w:val="false"/>
          <w:color w:val="333333"/>
          <w:sz w:val="19"/>
          <w:szCs w:val="19"/>
        </w:rPr>
        <w:t xml:space="preserve">Shared vocabulary: a non-salesy way to frame home equity as a planning tool, not a product pitch.</w:t>
      </w:r>
    </w:p>
    <w:p>
      <w:pPr>
        <w:pStyle w:val="ListParagraph"/>
        <w:numPr>
          <w:ilvl w:val="0"/>
          <w:numId w:val="1"/>
        </w:numPr>
        <w:spacing w:after="110" w:line="290"/>
      </w:pPr>
      <w:r>
        <w:rPr>
          <w:b w:val="false"/>
          <w:bCs w:val="false"/>
          <w:color w:val="333333"/>
          <w:sz w:val="19"/>
          <w:szCs w:val="19"/>
        </w:rPr>
        <w:t xml:space="preserve">Case studies, not theory: real before-and-after scenarios you can apply to your own book.</w:t>
      </w:r>
    </w:p>
    <w:tbl>
      <w:tblPr>
        <w:tblW w:type="dxa" w:w="10800"/>
        <w:tblBorders>
          <w:top w:val="none" w:color="FFFFFF" w:sz="0"/>
          <w:left w:val="single" w:color="2E86C1" w:sz="24"/>
          <w:bottom w:val="none" w:color="FFFFFF" w:sz="0"/>
          <w:right w:val="none" w:color="FFFFFF" w:sz="0"/>
          <w:insideH w:val="single" w:color="auto" w:sz="4"/>
          <w:insideV w:val="single" w:color="auto" w:sz="4"/>
        </w:tblBorders>
      </w:tblPr>
      <w:tblGrid>
        <w:gridCol w:w="10800"/>
      </w:tblGrid>
      <w:tr>
        <w:tc>
          <w:tcPr>
            <w:tcW w:type="dxa" w:w="10800"/>
            <w:tcBorders>
              <w:top w:val="none" w:color="FFFFFF" w:sz="0"/>
              <w:left w:val="single" w:color="2E86C1" w:sz="24"/>
              <w:bottom w:val="none" w:color="FFFFFF" w:sz="0"/>
              <w:right w:val="none" w:color="FFFFFF" w:sz="0"/>
            </w:tcBorders>
            <w:shd w:fill="EDF4FA" w:color="auto" w:val="clear"/>
            <w:tcMar>
              <w:top w:type="dxa" w:w="180"/>
              <w:left w:type="dxa" w:w="260"/>
              <w:bottom w:type="dxa" w:w="180"/>
              <w:right w:type="dxa" w:w="260"/>
            </w:tcMar>
          </w:tcPr>
          <w:p>
            <w:r>
              <w:rPr>
                <w:b/>
                <w:bCs/>
                <w:color w:val="003366"/>
                <w:sz w:val="19"/>
                <w:szCs w:val="19"/>
              </w:rPr>
              <w:t xml:space="preserve">The CLA Difference:  </w:t>
            </w:r>
            <w:r>
              <w:rPr>
                <w:color w:val="333333"/>
                <w:sz w:val="19"/>
                <w:szCs w:val="19"/>
              </w:rPr>
              <w:t xml:space="preserve">we don't replace the advisor relationship. You manage the assets — we help optimize the liability side, so the plan you're already building has a complete balance sheet behind it.</w:t>
            </w:r>
          </w:p>
        </w:tc>
      </w:tr>
    </w:tbl>
    <w:p>
      <w:pPr>
        <w:pBdr>
          <w:bottom w:val="single" w:color="2E86C1" w:sz="6" w:space="4"/>
        </w:pBdr>
        <w:spacing w:after="130" w:before="260"/>
      </w:pPr>
      <w:r>
        <w:rPr>
          <w:b/>
          <w:bCs/>
          <w:color w:val="003366"/>
          <w:spacing w:val="12"/>
          <w:sz w:val="21"/>
          <w:szCs w:val="21"/>
        </w:rPr>
        <w:t xml:space="preserve">NOTES</w:t>
      </w:r>
    </w:p>
    <w:p>
      <w:pPr>
        <w:pBdr>
          <w:bottom w:val="single" w:color="BFBFBF" w:sz="3" w:space="1"/>
        </w:pBdr>
        <w:spacing w:after="340"/>
      </w:pPr>
      <w:r>
        <w:rPr>
          <w:sz w:val="2"/>
          <w:szCs w:val="2"/>
        </w:rPr>
        <w:t xml:space="preserve"/>
      </w:r>
    </w:p>
    <w:p>
      <w:pPr>
        <w:pBdr>
          <w:bottom w:val="single" w:color="BFBFBF" w:sz="3" w:space="1"/>
        </w:pBdr>
        <w:spacing w:after="340"/>
      </w:pPr>
      <w:r>
        <w:rPr>
          <w:sz w:val="2"/>
          <w:szCs w:val="2"/>
        </w:rPr>
        <w:t xml:space="preserve"/>
      </w:r>
    </w:p>
    <w:p>
      <w:pPr>
        <w:pBdr>
          <w:bottom w:val="single" w:color="BFBFBF" w:sz="3" w:space="1"/>
        </w:pBdr>
        <w:spacing w:after="340"/>
      </w:pPr>
      <w:r>
        <w:rPr>
          <w:sz w:val="2"/>
          <w:szCs w:val="2"/>
        </w:rPr>
        <w:t xml:space="preserve"/>
      </w:r>
    </w:p>
    <w:p>
      <w:pPr>
        <w:pBdr>
          <w:bottom w:val="single" w:color="BFBFBF" w:sz="3" w:space="1"/>
        </w:pBdr>
        <w:spacing w:after="340"/>
      </w:pPr>
      <w:r>
        <w:rPr>
          <w:sz w:val="2"/>
          <w:szCs w:val="2"/>
        </w:rPr>
        <w:t xml:space="preserve"/>
      </w:r>
    </w:p>
    <w:sectPr>
      <w:footerReference w:type="default" r:id="rId7"/>
      <w:pgSz w:w="12240" w:h="15840" w:orient="portrait"/>
      <w:pgMar w:top="720" w:right="850" w:bottom="64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9D9D9" w:sz="4" w:space="6"/>
      </w:pBdr>
      <w:spacing w:before="100"/>
    </w:pPr>
    <w:r>
      <w:rPr>
        <w:b/>
        <w:bCs/>
        <w:color w:val="666666"/>
        <w:sz w:val="15"/>
        <w:szCs w:val="15"/>
      </w:rPr>
      <w:t xml:space="preserve">John Thompson  |  Certified Liability Advisor™  |  Certified Reverse Mortgage Planner</w:t>
    </w:r>
  </w:p>
  <w:p>
    <w:r>
      <w:rPr>
        <w:color w:val="666666"/>
        <w:sz w:val="14"/>
        <w:szCs w:val="14"/>
      </w:rPr>
      <w:t xml:space="preserve">Phone: (626) 583-1623   |   Email: john@smplmortgage.com   |   NMLS #252514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28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2026-08-04T21:23:59.113Z</dcterms:created>
  <dcterms:modified xsi:type="dcterms:W3CDTF">2026-08-04T21:23:59.124Z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